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1427" w14:textId="77777777" w:rsidR="00E7436A" w:rsidRDefault="00E7436A" w:rsidP="00E7436A">
      <w:pPr>
        <w:spacing w:line="300" w:lineRule="atLeast"/>
        <w:ind w:left="360" w:hanging="360"/>
      </w:pPr>
      <w:r w:rsidRPr="00AF5858">
        <w:t>51</w:t>
      </w:r>
      <w:r>
        <w:t>. [LO 3] Sandra</w:t>
      </w:r>
      <w:r w:rsidRPr="00D72B84">
        <w:t xml:space="preserve"> would like to organize </w:t>
      </w:r>
      <w:r>
        <w:t>L</w:t>
      </w:r>
      <w:r w:rsidRPr="00D72B84">
        <w:t>A</w:t>
      </w:r>
      <w:r>
        <w:t>B</w:t>
      </w:r>
      <w:r w:rsidRPr="00D72B84">
        <w:t xml:space="preserve"> as either an LLC (taxed as a sole proprietorship) or a C corporation. In either form, the entity is expected to generate an 8 percent annual before-tax return on a $500,000 investment. </w:t>
      </w:r>
      <w:r>
        <w:t>Sandra</w:t>
      </w:r>
      <w:r w:rsidRPr="0028361A">
        <w:t>’s</w:t>
      </w:r>
      <w:r w:rsidRPr="00D72B84">
        <w:t xml:space="preserve"> marginal income tax rate is 37 percent and her tax rate on dividends and capital gains is 23.8 percent (including the </w:t>
      </w:r>
      <w:r>
        <w:t xml:space="preserve">3.8 percent </w:t>
      </w:r>
      <w:r w:rsidRPr="00D72B84">
        <w:t xml:space="preserve">net investment income tax). If </w:t>
      </w:r>
      <w:r>
        <w:t>Sandra</w:t>
      </w:r>
      <w:r w:rsidRPr="00D72B84">
        <w:t xml:space="preserve"> organizes </w:t>
      </w:r>
      <w:r>
        <w:t>L</w:t>
      </w:r>
      <w:r w:rsidRPr="00D72B84">
        <w:t>A</w:t>
      </w:r>
      <w:r>
        <w:t>B</w:t>
      </w:r>
      <w:r w:rsidRPr="00D72B84">
        <w:t xml:space="preserve"> as an LLC, she will be required to pay an additional </w:t>
      </w:r>
      <w:r>
        <w:t>2</w:t>
      </w:r>
      <w:r w:rsidRPr="00D72B84">
        <w:t>.</w:t>
      </w:r>
      <w:r>
        <w:t>9</w:t>
      </w:r>
      <w:r w:rsidRPr="00D72B84">
        <w:t xml:space="preserve"> percent </w:t>
      </w:r>
      <w:r>
        <w:t>for</w:t>
      </w:r>
      <w:r w:rsidRPr="00D72B84">
        <w:t xml:space="preserve"> self-employment tax and </w:t>
      </w:r>
      <w:r>
        <w:t xml:space="preserve">an additional .9 percent for the </w:t>
      </w:r>
      <w:r w:rsidRPr="00D72B84">
        <w:t xml:space="preserve">additional Medicare tax. </w:t>
      </w:r>
      <w:r>
        <w:t xml:space="preserve">LAB’s income is not qualified business income (QBI) so Sandra is not allowed to claim the QBI deduction. Assume that LAB will distribute all of its after-tax earnings every year as a dividend if it is formed as a C corporation. </w:t>
      </w:r>
    </w:p>
    <w:p w14:paraId="0419D5CB" w14:textId="77777777" w:rsidR="00E7436A" w:rsidRDefault="00E7436A" w:rsidP="00E7436A">
      <w:pPr>
        <w:spacing w:line="300" w:lineRule="atLeast"/>
        <w:ind w:left="360" w:hanging="360"/>
      </w:pPr>
    </w:p>
    <w:p w14:paraId="6E2B7402" w14:textId="77777777" w:rsidR="00E7436A" w:rsidRDefault="00E7436A" w:rsidP="00E7436A">
      <w:pPr>
        <w:spacing w:line="300" w:lineRule="atLeast"/>
        <w:ind w:left="480"/>
      </w:pPr>
      <w:r>
        <w:t xml:space="preserve">a. How much cash after taxes would Sandra receive from her investment in the first year if LAB is organized as either </w:t>
      </w:r>
      <w:r w:rsidRPr="00535451">
        <w:t>an LLC or</w:t>
      </w:r>
      <w:r>
        <w:t xml:space="preserve"> </w:t>
      </w:r>
      <w:r w:rsidRPr="00535451">
        <w:t xml:space="preserve">a </w:t>
      </w:r>
      <w:r>
        <w:t xml:space="preserve">C </w:t>
      </w:r>
      <w:r w:rsidRPr="00535451">
        <w:t>corporation?</w:t>
      </w:r>
      <w:r>
        <w:t xml:space="preserve"> </w:t>
      </w:r>
    </w:p>
    <w:p w14:paraId="140E5176" w14:textId="77777777" w:rsidR="00E7436A" w:rsidRDefault="00E7436A" w:rsidP="00E7436A">
      <w:pPr>
        <w:spacing w:line="300" w:lineRule="atLeast"/>
      </w:pPr>
    </w:p>
    <w:p w14:paraId="0457E287" w14:textId="77777777" w:rsidR="00E7436A" w:rsidRDefault="00E7436A" w:rsidP="00E7436A">
      <w:pPr>
        <w:spacing w:line="300" w:lineRule="atLeast"/>
        <w:ind w:left="480"/>
      </w:pPr>
      <w:r>
        <w:t>b. What is the overall tax rate on LAB’s income in first year if LAB is organized as an LLC or it is organized as a C corporation?</w:t>
      </w:r>
    </w:p>
    <w:p w14:paraId="3A9A1389" w14:textId="77777777" w:rsidR="00E7436A" w:rsidRDefault="00E7436A" w:rsidP="00E7436A">
      <w:pPr>
        <w:spacing w:line="300" w:lineRule="atLeast"/>
        <w:ind w:left="480"/>
        <w:rPr>
          <w:i/>
        </w:rPr>
      </w:pPr>
    </w:p>
    <w:p w14:paraId="43EC34FA" w14:textId="77777777" w:rsidR="00E7436A" w:rsidRDefault="00E7436A" w:rsidP="00E7436A">
      <w:pPr>
        <w:spacing w:line="300" w:lineRule="atLeast"/>
        <w:ind w:left="480"/>
        <w:rPr>
          <w:i/>
        </w:rPr>
      </w:pPr>
    </w:p>
    <w:tbl>
      <w:tblPr>
        <w:tblW w:w="9041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1335"/>
        <w:gridCol w:w="2175"/>
        <w:gridCol w:w="1266"/>
        <w:gridCol w:w="1858"/>
      </w:tblGrid>
      <w:tr w:rsidR="00E7436A" w:rsidRPr="006853BB" w14:paraId="37410ACB" w14:textId="77777777" w:rsidTr="004F1547">
        <w:trPr>
          <w:trHeight w:val="248"/>
        </w:trPr>
        <w:tc>
          <w:tcPr>
            <w:tcW w:w="2407" w:type="dxa"/>
          </w:tcPr>
          <w:p w14:paraId="57B93C3A" w14:textId="77777777" w:rsidR="00E7436A" w:rsidRPr="006853BB" w:rsidRDefault="00E7436A" w:rsidP="00E7436A">
            <w:pPr>
              <w:pStyle w:val="Default"/>
              <w:numPr>
                <w:ilvl w:val="0"/>
                <w:numId w:val="1"/>
              </w:numPr>
              <w:spacing w:line="300" w:lineRule="atLeast"/>
              <w:rPr>
                <w:i/>
                <w:color w:val="auto"/>
              </w:rPr>
            </w:pPr>
          </w:p>
        </w:tc>
        <w:tc>
          <w:tcPr>
            <w:tcW w:w="1335" w:type="dxa"/>
          </w:tcPr>
          <w:p w14:paraId="78485C00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LLC</w:t>
            </w:r>
          </w:p>
        </w:tc>
        <w:tc>
          <w:tcPr>
            <w:tcW w:w="2175" w:type="dxa"/>
          </w:tcPr>
          <w:p w14:paraId="0AFE7187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Description</w:t>
            </w:r>
          </w:p>
        </w:tc>
        <w:tc>
          <w:tcPr>
            <w:tcW w:w="1266" w:type="dxa"/>
          </w:tcPr>
          <w:p w14:paraId="5E55EF87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C Corp.</w:t>
            </w:r>
          </w:p>
        </w:tc>
        <w:tc>
          <w:tcPr>
            <w:tcW w:w="1858" w:type="dxa"/>
          </w:tcPr>
          <w:p w14:paraId="21D303AF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Description</w:t>
            </w:r>
          </w:p>
        </w:tc>
      </w:tr>
      <w:tr w:rsidR="00E7436A" w:rsidRPr="006853BB" w14:paraId="20838B6B" w14:textId="77777777" w:rsidTr="004F1547">
        <w:trPr>
          <w:trHeight w:val="368"/>
        </w:trPr>
        <w:tc>
          <w:tcPr>
            <w:tcW w:w="2407" w:type="dxa"/>
          </w:tcPr>
          <w:p w14:paraId="5547ECC1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 xml:space="preserve">(1) Pretax earnings </w:t>
            </w:r>
          </w:p>
        </w:tc>
        <w:tc>
          <w:tcPr>
            <w:tcW w:w="1335" w:type="dxa"/>
          </w:tcPr>
          <w:p w14:paraId="43528E3E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$</w:t>
            </w:r>
            <w:r>
              <w:rPr>
                <w:bCs/>
                <w:i/>
                <w:color w:val="auto"/>
              </w:rPr>
              <w:t>40</w:t>
            </w:r>
            <w:r w:rsidRPr="006853BB">
              <w:rPr>
                <w:bCs/>
                <w:i/>
                <w:color w:val="auto"/>
              </w:rPr>
              <w:t>,000</w:t>
            </w:r>
          </w:p>
        </w:tc>
        <w:tc>
          <w:tcPr>
            <w:tcW w:w="2175" w:type="dxa"/>
          </w:tcPr>
          <w:p w14:paraId="5127AA1A" w14:textId="77777777" w:rsidR="00E7436A" w:rsidRPr="006853BB" w:rsidRDefault="00E7436A" w:rsidP="004F1547">
            <w:pPr>
              <w:pStyle w:val="Default"/>
              <w:spacing w:line="300" w:lineRule="atLeast"/>
              <w:ind w:hanging="93"/>
              <w:jc w:val="both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8</w:t>
            </w:r>
            <w:r w:rsidRPr="006853BB">
              <w:rPr>
                <w:bCs/>
                <w:i/>
                <w:color w:val="auto"/>
              </w:rPr>
              <w:t>% × $</w:t>
            </w:r>
            <w:r>
              <w:rPr>
                <w:bCs/>
                <w:i/>
                <w:color w:val="auto"/>
              </w:rPr>
              <w:t>500,000</w:t>
            </w:r>
          </w:p>
        </w:tc>
        <w:tc>
          <w:tcPr>
            <w:tcW w:w="1266" w:type="dxa"/>
          </w:tcPr>
          <w:p w14:paraId="79B58F84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$</w:t>
            </w:r>
            <w:r>
              <w:rPr>
                <w:bCs/>
                <w:i/>
                <w:color w:val="auto"/>
              </w:rPr>
              <w:t>40</w:t>
            </w:r>
            <w:r w:rsidRPr="006853BB">
              <w:rPr>
                <w:bCs/>
                <w:i/>
                <w:color w:val="auto"/>
              </w:rPr>
              <w:t xml:space="preserve">,000 </w:t>
            </w:r>
          </w:p>
        </w:tc>
        <w:tc>
          <w:tcPr>
            <w:tcW w:w="1858" w:type="dxa"/>
          </w:tcPr>
          <w:p w14:paraId="454FC69F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8</w:t>
            </w:r>
            <w:r w:rsidRPr="006853BB">
              <w:rPr>
                <w:bCs/>
                <w:i/>
                <w:color w:val="auto"/>
              </w:rPr>
              <w:t>% × $</w:t>
            </w:r>
            <w:r>
              <w:rPr>
                <w:bCs/>
                <w:i/>
                <w:color w:val="auto"/>
              </w:rPr>
              <w:t>500,000</w:t>
            </w:r>
          </w:p>
        </w:tc>
      </w:tr>
      <w:tr w:rsidR="00E7436A" w14:paraId="7FE6891F" w14:textId="77777777" w:rsidTr="004F1547">
        <w:trPr>
          <w:trHeight w:val="243"/>
        </w:trPr>
        <w:tc>
          <w:tcPr>
            <w:tcW w:w="2407" w:type="dxa"/>
          </w:tcPr>
          <w:p w14:paraId="7188508D" w14:textId="77777777" w:rsidR="00E7436A" w:rsidRPr="006853BB" w:rsidRDefault="00E7436A" w:rsidP="004F1547">
            <w:pPr>
              <w:pStyle w:val="Default"/>
              <w:spacing w:line="300" w:lineRule="atLeas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(2) Entity level tax rate</w:t>
            </w:r>
          </w:p>
        </w:tc>
        <w:tc>
          <w:tcPr>
            <w:tcW w:w="1335" w:type="dxa"/>
          </w:tcPr>
          <w:p w14:paraId="15871268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0%</w:t>
            </w:r>
          </w:p>
        </w:tc>
        <w:tc>
          <w:tcPr>
            <w:tcW w:w="2175" w:type="dxa"/>
          </w:tcPr>
          <w:p w14:paraId="79D9E9E2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37EE7598" w14:textId="77777777" w:rsidR="00E7436A" w:rsidRPr="006853BB" w:rsidDel="00620AFE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21%</w:t>
            </w:r>
          </w:p>
        </w:tc>
        <w:tc>
          <w:tcPr>
            <w:tcW w:w="1858" w:type="dxa"/>
          </w:tcPr>
          <w:p w14:paraId="522210AC" w14:textId="77777777" w:rsidR="00E7436A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</w:p>
        </w:tc>
      </w:tr>
      <w:tr w:rsidR="00E7436A" w:rsidRPr="00D72B84" w14:paraId="0E2BBAD9" w14:textId="77777777" w:rsidTr="004F1547">
        <w:trPr>
          <w:trHeight w:val="243"/>
        </w:trPr>
        <w:tc>
          <w:tcPr>
            <w:tcW w:w="2407" w:type="dxa"/>
          </w:tcPr>
          <w:p w14:paraId="4A276704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3</w:t>
            </w:r>
            <w:r w:rsidRPr="006853BB">
              <w:rPr>
                <w:bCs/>
                <w:i/>
                <w:color w:val="auto"/>
              </w:rPr>
              <w:t xml:space="preserve">) Entity level tax </w:t>
            </w:r>
          </w:p>
        </w:tc>
        <w:tc>
          <w:tcPr>
            <w:tcW w:w="1335" w:type="dxa"/>
          </w:tcPr>
          <w:p w14:paraId="64A7EEED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 xml:space="preserve">-0- </w:t>
            </w:r>
          </w:p>
        </w:tc>
        <w:tc>
          <w:tcPr>
            <w:tcW w:w="2175" w:type="dxa"/>
          </w:tcPr>
          <w:p w14:paraId="1985D83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3EC4487D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8,400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858" w:type="dxa"/>
          </w:tcPr>
          <w:p w14:paraId="0B1DB815" w14:textId="77777777" w:rsidR="00E7436A" w:rsidRPr="00D72B84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 xml:space="preserve">(1) × (2) 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</w:tr>
      <w:tr w:rsidR="00E7436A" w:rsidRPr="006853BB" w14:paraId="158DD7F7" w14:textId="77777777" w:rsidTr="004F1547">
        <w:trPr>
          <w:trHeight w:val="557"/>
        </w:trPr>
        <w:tc>
          <w:tcPr>
            <w:tcW w:w="2407" w:type="dxa"/>
          </w:tcPr>
          <w:p w14:paraId="3EABD9AB" w14:textId="77777777" w:rsidR="00E7436A" w:rsidRPr="006853BB" w:rsidRDefault="00E7436A" w:rsidP="004F1547">
            <w:pPr>
              <w:pStyle w:val="Default"/>
              <w:spacing w:line="300" w:lineRule="atLeast"/>
              <w:ind w:left="360" w:hanging="360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4</w:t>
            </w:r>
            <w:r w:rsidRPr="006853BB">
              <w:rPr>
                <w:bCs/>
                <w:i/>
                <w:color w:val="auto"/>
              </w:rPr>
              <w:t xml:space="preserve">) </w:t>
            </w:r>
            <w:r>
              <w:rPr>
                <w:bCs/>
                <w:i/>
                <w:color w:val="auto"/>
              </w:rPr>
              <w:t>Earnings after-entity-level tax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335" w:type="dxa"/>
          </w:tcPr>
          <w:p w14:paraId="61CA4FDC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$</w:t>
            </w:r>
            <w:r>
              <w:rPr>
                <w:bCs/>
                <w:i/>
                <w:color w:val="auto"/>
              </w:rPr>
              <w:t>40</w:t>
            </w:r>
            <w:r w:rsidRPr="006853BB">
              <w:rPr>
                <w:bCs/>
                <w:i/>
                <w:color w:val="auto"/>
              </w:rPr>
              <w:t xml:space="preserve">,000 </w:t>
            </w:r>
          </w:p>
        </w:tc>
        <w:tc>
          <w:tcPr>
            <w:tcW w:w="2175" w:type="dxa"/>
          </w:tcPr>
          <w:p w14:paraId="2966837D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(1) – (</w:t>
            </w:r>
            <w:r>
              <w:rPr>
                <w:bCs/>
                <w:i/>
                <w:color w:val="auto"/>
              </w:rPr>
              <w:t>3</w:t>
            </w:r>
            <w:r w:rsidRPr="006853BB">
              <w:rPr>
                <w:bCs/>
                <w:i/>
                <w:color w:val="auto"/>
              </w:rPr>
              <w:t xml:space="preserve">) </w:t>
            </w:r>
          </w:p>
        </w:tc>
        <w:tc>
          <w:tcPr>
            <w:tcW w:w="1266" w:type="dxa"/>
          </w:tcPr>
          <w:p w14:paraId="5CCF20B5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$</w:t>
            </w:r>
            <w:r>
              <w:rPr>
                <w:bCs/>
                <w:i/>
                <w:color w:val="auto"/>
              </w:rPr>
              <w:t>31,600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858" w:type="dxa"/>
          </w:tcPr>
          <w:p w14:paraId="1126B8D7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(1) – (</w:t>
            </w:r>
            <w:r>
              <w:rPr>
                <w:bCs/>
                <w:i/>
                <w:color w:val="auto"/>
              </w:rPr>
              <w:t>3</w:t>
            </w:r>
            <w:r w:rsidRPr="006853BB">
              <w:rPr>
                <w:bCs/>
                <w:i/>
                <w:color w:val="auto"/>
              </w:rPr>
              <w:t xml:space="preserve">) </w:t>
            </w:r>
          </w:p>
        </w:tc>
      </w:tr>
      <w:tr w:rsidR="00E7436A" w:rsidRPr="006853BB" w14:paraId="059C15E9" w14:textId="77777777" w:rsidTr="004F1547">
        <w:trPr>
          <w:trHeight w:val="266"/>
        </w:trPr>
        <w:tc>
          <w:tcPr>
            <w:tcW w:w="2407" w:type="dxa"/>
          </w:tcPr>
          <w:p w14:paraId="7DA2D99F" w14:textId="77777777" w:rsidR="00E7436A" w:rsidRDefault="00E7436A" w:rsidP="004F1547">
            <w:pPr>
              <w:pStyle w:val="Default"/>
              <w:spacing w:line="300" w:lineRule="atLeas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(5) Deduction for 50 percent of SE tax</w:t>
            </w:r>
          </w:p>
        </w:tc>
        <w:tc>
          <w:tcPr>
            <w:tcW w:w="1335" w:type="dxa"/>
          </w:tcPr>
          <w:p w14:paraId="6B83A01F" w14:textId="77777777" w:rsidR="00E7436A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(536)</w:t>
            </w:r>
          </w:p>
        </w:tc>
        <w:tc>
          <w:tcPr>
            <w:tcW w:w="2175" w:type="dxa"/>
          </w:tcPr>
          <w:p w14:paraId="33A2ACBD" w14:textId="77777777" w:rsidR="00E7436A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(1) × .9235 × .029 × .5</w:t>
            </w:r>
          </w:p>
        </w:tc>
        <w:tc>
          <w:tcPr>
            <w:tcW w:w="1266" w:type="dxa"/>
          </w:tcPr>
          <w:p w14:paraId="02C9A2A9" w14:textId="77777777" w:rsidR="00E7436A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NA</w:t>
            </w:r>
          </w:p>
        </w:tc>
        <w:tc>
          <w:tcPr>
            <w:tcW w:w="1858" w:type="dxa"/>
          </w:tcPr>
          <w:p w14:paraId="0C71D243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</w:p>
        </w:tc>
      </w:tr>
      <w:tr w:rsidR="00E7436A" w:rsidRPr="006853BB" w14:paraId="773AB6A1" w14:textId="77777777" w:rsidTr="004F1547">
        <w:trPr>
          <w:trHeight w:val="266"/>
        </w:trPr>
        <w:tc>
          <w:tcPr>
            <w:tcW w:w="2407" w:type="dxa"/>
          </w:tcPr>
          <w:p w14:paraId="50012D47" w14:textId="77777777" w:rsidR="00E7436A" w:rsidRPr="006853BB" w:rsidRDefault="00E7436A" w:rsidP="004F1547">
            <w:pPr>
              <w:pStyle w:val="Default"/>
              <w:spacing w:line="300" w:lineRule="atLeas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(6) QBI deduction</w:t>
            </w:r>
          </w:p>
        </w:tc>
        <w:tc>
          <w:tcPr>
            <w:tcW w:w="1335" w:type="dxa"/>
          </w:tcPr>
          <w:p w14:paraId="5832DCBA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0</w:t>
            </w:r>
          </w:p>
        </w:tc>
        <w:tc>
          <w:tcPr>
            <w:tcW w:w="2175" w:type="dxa"/>
          </w:tcPr>
          <w:p w14:paraId="324AC003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Does not qualify</w:t>
            </w:r>
          </w:p>
        </w:tc>
        <w:tc>
          <w:tcPr>
            <w:tcW w:w="1266" w:type="dxa"/>
          </w:tcPr>
          <w:p w14:paraId="78B4F0E7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NA</w:t>
            </w:r>
          </w:p>
        </w:tc>
        <w:tc>
          <w:tcPr>
            <w:tcW w:w="1858" w:type="dxa"/>
          </w:tcPr>
          <w:p w14:paraId="508AC880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</w:p>
        </w:tc>
      </w:tr>
      <w:tr w:rsidR="00E7436A" w:rsidRPr="00D72B84" w14:paraId="6118AC74" w14:textId="77777777" w:rsidTr="004F1547">
        <w:trPr>
          <w:trHeight w:val="266"/>
        </w:trPr>
        <w:tc>
          <w:tcPr>
            <w:tcW w:w="2407" w:type="dxa"/>
          </w:tcPr>
          <w:p w14:paraId="227D406B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7</w:t>
            </w:r>
            <w:r w:rsidRPr="006853BB">
              <w:rPr>
                <w:bCs/>
                <w:i/>
                <w:color w:val="auto"/>
              </w:rPr>
              <w:t xml:space="preserve">) </w:t>
            </w:r>
            <w:r>
              <w:rPr>
                <w:bCs/>
                <w:i/>
                <w:color w:val="auto"/>
              </w:rPr>
              <w:t>Net income taxable to owner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335" w:type="dxa"/>
          </w:tcPr>
          <w:p w14:paraId="3A1CFB26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39,464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2175" w:type="dxa"/>
          </w:tcPr>
          <w:p w14:paraId="04DBB614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 w:rsidRPr="00FA22C6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4)</w:t>
            </w:r>
            <w:r w:rsidRPr="006853BB">
              <w:rPr>
                <w:bCs/>
                <w:i/>
                <w:color w:val="auto"/>
              </w:rPr>
              <w:t xml:space="preserve"> </w:t>
            </w:r>
            <w:r>
              <w:rPr>
                <w:bCs/>
                <w:i/>
                <w:color w:val="auto"/>
              </w:rPr>
              <w:t>+</w:t>
            </w:r>
            <w:r w:rsidRPr="006853BB">
              <w:rPr>
                <w:bCs/>
                <w:i/>
                <w:color w:val="auto"/>
              </w:rPr>
              <w:t xml:space="preserve"> </w:t>
            </w:r>
            <w:r>
              <w:rPr>
                <w:bCs/>
                <w:i/>
                <w:color w:val="auto"/>
              </w:rPr>
              <w:t>(5) + (6)</w:t>
            </w:r>
          </w:p>
        </w:tc>
        <w:tc>
          <w:tcPr>
            <w:tcW w:w="1266" w:type="dxa"/>
          </w:tcPr>
          <w:p w14:paraId="7BE4C580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31,600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858" w:type="dxa"/>
          </w:tcPr>
          <w:p w14:paraId="1279AE19" w14:textId="77777777" w:rsidR="00E7436A" w:rsidRPr="00D72B84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4</w:t>
            </w:r>
            <w:r w:rsidRPr="006853BB">
              <w:rPr>
                <w:bCs/>
                <w:i/>
                <w:color w:val="auto"/>
              </w:rPr>
              <w:t>)</w:t>
            </w:r>
            <w:r>
              <w:rPr>
                <w:bCs/>
                <w:i/>
                <w:color w:val="auto"/>
              </w:rPr>
              <w:t xml:space="preserve"> × 100% distributed as dividend</w:t>
            </w:r>
          </w:p>
        </w:tc>
      </w:tr>
      <w:tr w:rsidR="00E7436A" w:rsidRPr="006853BB" w14:paraId="36B1B665" w14:textId="77777777" w:rsidTr="004F1547">
        <w:trPr>
          <w:trHeight w:val="305"/>
        </w:trPr>
        <w:tc>
          <w:tcPr>
            <w:tcW w:w="2407" w:type="dxa"/>
          </w:tcPr>
          <w:p w14:paraId="0A9CC0E6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 w:rsidRPr="006853BB">
              <w:rPr>
                <w:bCs/>
                <w:i/>
                <w:color w:val="auto"/>
              </w:rPr>
              <w:t>(</w:t>
            </w:r>
            <w:r>
              <w:rPr>
                <w:bCs/>
                <w:i/>
                <w:color w:val="auto"/>
              </w:rPr>
              <w:t>8</w:t>
            </w:r>
            <w:r w:rsidRPr="006853BB">
              <w:rPr>
                <w:bCs/>
                <w:i/>
                <w:color w:val="auto"/>
              </w:rPr>
              <w:t xml:space="preserve">) </w:t>
            </w:r>
            <w:r>
              <w:rPr>
                <w:bCs/>
                <w:i/>
                <w:color w:val="auto"/>
              </w:rPr>
              <w:t>Income tax paid by owner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  <w:tc>
          <w:tcPr>
            <w:tcW w:w="1335" w:type="dxa"/>
          </w:tcPr>
          <w:p w14:paraId="3AA0FA77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14,602</w:t>
            </w:r>
          </w:p>
        </w:tc>
        <w:tc>
          <w:tcPr>
            <w:tcW w:w="2175" w:type="dxa"/>
          </w:tcPr>
          <w:p w14:paraId="4CB588F0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(7) × .37</w:t>
            </w:r>
          </w:p>
        </w:tc>
        <w:tc>
          <w:tcPr>
            <w:tcW w:w="1266" w:type="dxa"/>
          </w:tcPr>
          <w:p w14:paraId="6B5333A1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6,320</w:t>
            </w:r>
          </w:p>
        </w:tc>
        <w:tc>
          <w:tcPr>
            <w:tcW w:w="1858" w:type="dxa"/>
          </w:tcPr>
          <w:p w14:paraId="71F09C86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(7) × .20</w:t>
            </w:r>
            <w:r w:rsidRPr="006853BB">
              <w:rPr>
                <w:bCs/>
                <w:i/>
                <w:color w:val="auto"/>
              </w:rPr>
              <w:t xml:space="preserve"> </w:t>
            </w:r>
          </w:p>
        </w:tc>
      </w:tr>
      <w:tr w:rsidR="00E7436A" w:rsidRPr="006853BB" w:rsidDel="007A6A59" w14:paraId="365DABAD" w14:textId="77777777" w:rsidTr="004F1547">
        <w:trPr>
          <w:trHeight w:val="305"/>
        </w:trPr>
        <w:tc>
          <w:tcPr>
            <w:tcW w:w="2407" w:type="dxa"/>
          </w:tcPr>
          <w:p w14:paraId="5AAF01F4" w14:textId="77777777" w:rsidR="00E7436A" w:rsidRPr="006853BB" w:rsidRDefault="00E7436A" w:rsidP="004F1547">
            <w:pPr>
              <w:pStyle w:val="Default"/>
              <w:spacing w:line="300" w:lineRule="atLeas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(9) Self-employment tax</w:t>
            </w:r>
          </w:p>
        </w:tc>
        <w:tc>
          <w:tcPr>
            <w:tcW w:w="1335" w:type="dxa"/>
          </w:tcPr>
          <w:p w14:paraId="06EACF80" w14:textId="77777777" w:rsidR="00E7436A" w:rsidRPr="00D72B84" w:rsidDel="00FA22C6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1,071</w:t>
            </w:r>
          </w:p>
        </w:tc>
        <w:tc>
          <w:tcPr>
            <w:tcW w:w="2175" w:type="dxa"/>
          </w:tcPr>
          <w:p w14:paraId="79271D84" w14:textId="77777777" w:rsidR="00E7436A" w:rsidRPr="006853BB" w:rsidDel="00FA22C6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(1) × .9235 × .029</w:t>
            </w:r>
          </w:p>
        </w:tc>
        <w:tc>
          <w:tcPr>
            <w:tcW w:w="1266" w:type="dxa"/>
          </w:tcPr>
          <w:p w14:paraId="6CA43DBF" w14:textId="77777777" w:rsidR="00E7436A" w:rsidRPr="00D72B84" w:rsidDel="007A6A59" w:rsidRDefault="00E7436A" w:rsidP="004F1547">
            <w:pPr>
              <w:pStyle w:val="Default"/>
              <w:spacing w:line="300" w:lineRule="atLeast"/>
              <w:jc w:val="right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NA</w:t>
            </w:r>
          </w:p>
        </w:tc>
        <w:tc>
          <w:tcPr>
            <w:tcW w:w="1858" w:type="dxa"/>
          </w:tcPr>
          <w:p w14:paraId="73E1BEB2" w14:textId="77777777" w:rsidR="00E7436A" w:rsidRPr="006853BB" w:rsidDel="007A6A59" w:rsidRDefault="00E7436A" w:rsidP="004F1547">
            <w:pPr>
              <w:pStyle w:val="Default"/>
              <w:spacing w:line="300" w:lineRule="atLeast"/>
              <w:rPr>
                <w:bCs/>
                <w:i/>
                <w:color w:val="auto"/>
              </w:rPr>
            </w:pPr>
          </w:p>
        </w:tc>
      </w:tr>
      <w:tr w:rsidR="00E7436A" w:rsidRPr="006853BB" w14:paraId="0C064328" w14:textId="77777777" w:rsidTr="004F1547">
        <w:trPr>
          <w:trHeight w:val="243"/>
        </w:trPr>
        <w:tc>
          <w:tcPr>
            <w:tcW w:w="2407" w:type="dxa"/>
          </w:tcPr>
          <w:p w14:paraId="428FCCD0" w14:textId="77777777" w:rsidR="00E7436A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>
              <w:rPr>
                <w:i/>
                <w:color w:val="auto"/>
              </w:rPr>
              <w:t>(10) Additional Medicare tax/Net investment income tax</w:t>
            </w:r>
          </w:p>
        </w:tc>
        <w:tc>
          <w:tcPr>
            <w:tcW w:w="1335" w:type="dxa"/>
          </w:tcPr>
          <w:p w14:paraId="21B10D8C" w14:textId="77777777" w:rsidR="00E7436A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332</w:t>
            </w:r>
          </w:p>
        </w:tc>
        <w:tc>
          <w:tcPr>
            <w:tcW w:w="2175" w:type="dxa"/>
          </w:tcPr>
          <w:p w14:paraId="2061805D" w14:textId="77777777" w:rsidR="00E7436A" w:rsidRDefault="00E7436A" w:rsidP="004F1547">
            <w:pPr>
              <w:pStyle w:val="Default"/>
              <w:spacing w:line="300" w:lineRule="atLeast"/>
              <w:jc w:val="both"/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(1) × .9235 × .009 additional Medicare tax</w:t>
            </w:r>
          </w:p>
          <w:p w14:paraId="578634B8" w14:textId="77777777" w:rsidR="00E7436A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52A154E1" w14:textId="77777777" w:rsidR="00E7436A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1,201</w:t>
            </w:r>
          </w:p>
        </w:tc>
        <w:tc>
          <w:tcPr>
            <w:tcW w:w="1858" w:type="dxa"/>
          </w:tcPr>
          <w:p w14:paraId="12421402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(7) × .038 net investment income tax</w:t>
            </w:r>
          </w:p>
        </w:tc>
      </w:tr>
      <w:tr w:rsidR="00E7436A" w:rsidRPr="006853BB" w14:paraId="13BE4F09" w14:textId="77777777" w:rsidTr="004F1547">
        <w:trPr>
          <w:trHeight w:val="243"/>
        </w:trPr>
        <w:tc>
          <w:tcPr>
            <w:tcW w:w="2407" w:type="dxa"/>
          </w:tcPr>
          <w:p w14:paraId="674B125F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>
              <w:rPr>
                <w:i/>
                <w:color w:val="auto"/>
              </w:rPr>
              <w:t>(11) Owner-level tax</w:t>
            </w:r>
          </w:p>
        </w:tc>
        <w:tc>
          <w:tcPr>
            <w:tcW w:w="1335" w:type="dxa"/>
          </w:tcPr>
          <w:p w14:paraId="460CB33C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$16,005</w:t>
            </w:r>
          </w:p>
        </w:tc>
        <w:tc>
          <w:tcPr>
            <w:tcW w:w="2175" w:type="dxa"/>
          </w:tcPr>
          <w:p w14:paraId="7044CDC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(8) + (9) + (10)</w:t>
            </w:r>
          </w:p>
        </w:tc>
        <w:tc>
          <w:tcPr>
            <w:tcW w:w="1266" w:type="dxa"/>
          </w:tcPr>
          <w:p w14:paraId="1A9721FD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$7,521</w:t>
            </w:r>
          </w:p>
        </w:tc>
        <w:tc>
          <w:tcPr>
            <w:tcW w:w="1858" w:type="dxa"/>
          </w:tcPr>
          <w:p w14:paraId="32FFA088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(8) + (10)</w:t>
            </w:r>
          </w:p>
        </w:tc>
      </w:tr>
      <w:tr w:rsidR="00E7436A" w:rsidRPr="006853BB" w14:paraId="6F5B11FB" w14:textId="77777777" w:rsidTr="004F1547">
        <w:trPr>
          <w:trHeight w:val="243"/>
        </w:trPr>
        <w:tc>
          <w:tcPr>
            <w:tcW w:w="2407" w:type="dxa"/>
          </w:tcPr>
          <w:p w14:paraId="06EAC6A4" w14:textId="77777777" w:rsidR="00E7436A" w:rsidRPr="00D72B84" w:rsidRDefault="00E7436A" w:rsidP="004F1547">
            <w:pPr>
              <w:pStyle w:val="Default"/>
              <w:spacing w:line="300" w:lineRule="atLeast"/>
              <w:rPr>
                <w:b/>
                <w:i/>
                <w:color w:val="auto"/>
              </w:rPr>
            </w:pPr>
            <w:r w:rsidRPr="00D72B84">
              <w:rPr>
                <w:b/>
                <w:i/>
                <w:color w:val="auto"/>
              </w:rPr>
              <w:t>After-tax cash flow</w:t>
            </w:r>
          </w:p>
        </w:tc>
        <w:tc>
          <w:tcPr>
            <w:tcW w:w="1335" w:type="dxa"/>
          </w:tcPr>
          <w:p w14:paraId="77D34828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/>
                <w:i/>
                <w:color w:val="auto"/>
              </w:rPr>
            </w:pPr>
            <w:r w:rsidRPr="00D72B84">
              <w:rPr>
                <w:b/>
                <w:i/>
                <w:color w:val="auto"/>
              </w:rPr>
              <w:t>$</w:t>
            </w:r>
            <w:r>
              <w:rPr>
                <w:b/>
                <w:i/>
                <w:color w:val="auto"/>
              </w:rPr>
              <w:t>23,995</w:t>
            </w:r>
          </w:p>
        </w:tc>
        <w:tc>
          <w:tcPr>
            <w:tcW w:w="2175" w:type="dxa"/>
          </w:tcPr>
          <w:p w14:paraId="7F842AC7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(1) – (11)</w:t>
            </w:r>
          </w:p>
        </w:tc>
        <w:tc>
          <w:tcPr>
            <w:tcW w:w="1266" w:type="dxa"/>
          </w:tcPr>
          <w:p w14:paraId="0C6A0510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/>
                <w:i/>
                <w:color w:val="auto"/>
              </w:rPr>
            </w:pPr>
            <w:r w:rsidRPr="00D72B84">
              <w:rPr>
                <w:b/>
                <w:i/>
                <w:color w:val="auto"/>
              </w:rPr>
              <w:t>$</w:t>
            </w:r>
            <w:r>
              <w:rPr>
                <w:b/>
                <w:i/>
                <w:color w:val="auto"/>
              </w:rPr>
              <w:t>24,079</w:t>
            </w:r>
          </w:p>
        </w:tc>
        <w:tc>
          <w:tcPr>
            <w:tcW w:w="1858" w:type="dxa"/>
          </w:tcPr>
          <w:p w14:paraId="5A50F88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(7) – (11)</w:t>
            </w:r>
          </w:p>
        </w:tc>
      </w:tr>
      <w:tr w:rsidR="00E7436A" w:rsidRPr="006853BB" w14:paraId="76236A3B" w14:textId="77777777" w:rsidTr="004F1547">
        <w:trPr>
          <w:trHeight w:val="243"/>
        </w:trPr>
        <w:tc>
          <w:tcPr>
            <w:tcW w:w="2407" w:type="dxa"/>
          </w:tcPr>
          <w:p w14:paraId="13CDBA34" w14:textId="77777777" w:rsidR="00E7436A" w:rsidRPr="006853BB" w:rsidRDefault="00E7436A" w:rsidP="004F1547">
            <w:pPr>
              <w:pStyle w:val="Default"/>
              <w:spacing w:line="300" w:lineRule="atLeast"/>
              <w:ind w:left="360"/>
              <w:rPr>
                <w:i/>
                <w:color w:val="auto"/>
              </w:rPr>
            </w:pPr>
          </w:p>
        </w:tc>
        <w:tc>
          <w:tcPr>
            <w:tcW w:w="1335" w:type="dxa"/>
          </w:tcPr>
          <w:p w14:paraId="566D25A5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</w:p>
        </w:tc>
        <w:tc>
          <w:tcPr>
            <w:tcW w:w="2175" w:type="dxa"/>
          </w:tcPr>
          <w:p w14:paraId="344A1318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18CB45A1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</w:p>
        </w:tc>
        <w:tc>
          <w:tcPr>
            <w:tcW w:w="1858" w:type="dxa"/>
          </w:tcPr>
          <w:p w14:paraId="493AF70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</w:tr>
      <w:tr w:rsidR="00E7436A" w:rsidRPr="006853BB" w14:paraId="49F0A7E0" w14:textId="77777777" w:rsidTr="004F1547">
        <w:trPr>
          <w:trHeight w:val="243"/>
        </w:trPr>
        <w:tc>
          <w:tcPr>
            <w:tcW w:w="2407" w:type="dxa"/>
          </w:tcPr>
          <w:p w14:paraId="47AF5D75" w14:textId="77777777" w:rsidR="00E7436A" w:rsidRPr="006853BB" w:rsidRDefault="00E7436A" w:rsidP="004F1547">
            <w:pPr>
              <w:pStyle w:val="Default"/>
              <w:spacing w:line="300" w:lineRule="atLeast"/>
              <w:ind w:left="360"/>
              <w:rPr>
                <w:i/>
                <w:color w:val="auto"/>
              </w:rPr>
            </w:pPr>
          </w:p>
        </w:tc>
        <w:tc>
          <w:tcPr>
            <w:tcW w:w="1335" w:type="dxa"/>
          </w:tcPr>
          <w:p w14:paraId="2DA12D71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</w:p>
        </w:tc>
        <w:tc>
          <w:tcPr>
            <w:tcW w:w="2175" w:type="dxa"/>
          </w:tcPr>
          <w:p w14:paraId="1B591D0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44BB21E8" w14:textId="77777777" w:rsidR="00E7436A" w:rsidRPr="006853BB" w:rsidRDefault="00E7436A" w:rsidP="004F1547">
            <w:pPr>
              <w:pStyle w:val="Default"/>
              <w:spacing w:line="300" w:lineRule="atLeast"/>
              <w:jc w:val="right"/>
              <w:rPr>
                <w:i/>
                <w:color w:val="auto"/>
              </w:rPr>
            </w:pPr>
          </w:p>
        </w:tc>
        <w:tc>
          <w:tcPr>
            <w:tcW w:w="1858" w:type="dxa"/>
          </w:tcPr>
          <w:p w14:paraId="5A1099FF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</w:tr>
      <w:tr w:rsidR="00E7436A" w:rsidRPr="006853BB" w14:paraId="7DC0561A" w14:textId="77777777" w:rsidTr="004F1547">
        <w:trPr>
          <w:trHeight w:val="243"/>
        </w:trPr>
        <w:tc>
          <w:tcPr>
            <w:tcW w:w="2407" w:type="dxa"/>
          </w:tcPr>
          <w:p w14:paraId="306506DB" w14:textId="77777777" w:rsidR="00E7436A" w:rsidRPr="006853BB" w:rsidRDefault="00E7436A" w:rsidP="004F1547">
            <w:pPr>
              <w:pStyle w:val="Default"/>
              <w:spacing w:line="300" w:lineRule="atLeast"/>
              <w:rPr>
                <w:i/>
                <w:color w:val="auto"/>
              </w:rPr>
            </w:pPr>
            <w:r>
              <w:rPr>
                <w:i/>
                <w:color w:val="auto"/>
              </w:rPr>
              <w:lastRenderedPageBreak/>
              <w:t>b.</w:t>
            </w:r>
          </w:p>
        </w:tc>
        <w:tc>
          <w:tcPr>
            <w:tcW w:w="1335" w:type="dxa"/>
          </w:tcPr>
          <w:p w14:paraId="2EC4C82A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 w:rsidRPr="006853BB">
              <w:rPr>
                <w:i/>
                <w:color w:val="auto"/>
              </w:rPr>
              <w:t>LLC</w:t>
            </w:r>
          </w:p>
        </w:tc>
        <w:tc>
          <w:tcPr>
            <w:tcW w:w="2175" w:type="dxa"/>
          </w:tcPr>
          <w:p w14:paraId="4E3FCD79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  <w:tc>
          <w:tcPr>
            <w:tcW w:w="1266" w:type="dxa"/>
          </w:tcPr>
          <w:p w14:paraId="00BA691D" w14:textId="77777777" w:rsidR="00E7436A" w:rsidRPr="006853BB" w:rsidRDefault="00E7436A" w:rsidP="004F1547">
            <w:pPr>
              <w:pStyle w:val="Default"/>
              <w:spacing w:line="300" w:lineRule="atLeast"/>
              <w:jc w:val="center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C </w:t>
            </w:r>
            <w:r w:rsidRPr="006853BB">
              <w:rPr>
                <w:i/>
                <w:color w:val="auto"/>
              </w:rPr>
              <w:t>Corp.</w:t>
            </w:r>
          </w:p>
        </w:tc>
        <w:tc>
          <w:tcPr>
            <w:tcW w:w="1858" w:type="dxa"/>
          </w:tcPr>
          <w:p w14:paraId="0A5F1BF6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</w:p>
        </w:tc>
      </w:tr>
      <w:tr w:rsidR="00E7436A" w:rsidRPr="006853BB" w14:paraId="18CBDA16" w14:textId="77777777" w:rsidTr="004F1547">
        <w:trPr>
          <w:trHeight w:val="243"/>
        </w:trPr>
        <w:tc>
          <w:tcPr>
            <w:tcW w:w="2407" w:type="dxa"/>
          </w:tcPr>
          <w:p w14:paraId="56B40F74" w14:textId="77777777" w:rsidR="00E7436A" w:rsidRPr="00D72B84" w:rsidRDefault="00E7436A" w:rsidP="004F1547">
            <w:pPr>
              <w:pStyle w:val="Default"/>
              <w:spacing w:line="300" w:lineRule="atLeast"/>
              <w:rPr>
                <w:b/>
                <w:i/>
                <w:color w:val="auto"/>
              </w:rPr>
            </w:pPr>
            <w:r w:rsidRPr="00D72B84">
              <w:rPr>
                <w:b/>
                <w:i/>
                <w:color w:val="auto"/>
              </w:rPr>
              <w:t>Overall tax rate</w:t>
            </w:r>
          </w:p>
        </w:tc>
        <w:tc>
          <w:tcPr>
            <w:tcW w:w="1335" w:type="dxa"/>
          </w:tcPr>
          <w:p w14:paraId="54C1BBDE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40.01</w:t>
            </w:r>
            <w:r w:rsidRPr="00D72B84">
              <w:rPr>
                <w:b/>
                <w:i/>
                <w:color w:val="auto"/>
              </w:rPr>
              <w:t>%</w:t>
            </w:r>
          </w:p>
        </w:tc>
        <w:tc>
          <w:tcPr>
            <w:tcW w:w="2175" w:type="dxa"/>
          </w:tcPr>
          <w:p w14:paraId="27510E9D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 w:rsidRPr="006853BB">
              <w:rPr>
                <w:i/>
                <w:color w:val="auto"/>
              </w:rPr>
              <w:t>(</w:t>
            </w:r>
            <w:r>
              <w:rPr>
                <w:i/>
                <w:color w:val="auto"/>
              </w:rPr>
              <w:t>11</w:t>
            </w:r>
            <w:r w:rsidRPr="006853BB">
              <w:rPr>
                <w:i/>
                <w:color w:val="auto"/>
              </w:rPr>
              <w:t>)/(1)</w:t>
            </w:r>
          </w:p>
        </w:tc>
        <w:tc>
          <w:tcPr>
            <w:tcW w:w="1266" w:type="dxa"/>
          </w:tcPr>
          <w:p w14:paraId="6BAA6424" w14:textId="77777777" w:rsidR="00E7436A" w:rsidRPr="00D72B84" w:rsidRDefault="00E7436A" w:rsidP="004F1547">
            <w:pPr>
              <w:pStyle w:val="Default"/>
              <w:spacing w:line="300" w:lineRule="atLeast"/>
              <w:jc w:val="right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39.8</w:t>
            </w:r>
            <w:r w:rsidRPr="00D72B84">
              <w:rPr>
                <w:b/>
                <w:i/>
                <w:color w:val="auto"/>
              </w:rPr>
              <w:t>%</w:t>
            </w:r>
          </w:p>
        </w:tc>
        <w:tc>
          <w:tcPr>
            <w:tcW w:w="1858" w:type="dxa"/>
          </w:tcPr>
          <w:p w14:paraId="02D0A162" w14:textId="77777777" w:rsidR="00E7436A" w:rsidRPr="006853BB" w:rsidRDefault="00E7436A" w:rsidP="004F1547">
            <w:pPr>
              <w:pStyle w:val="Default"/>
              <w:spacing w:line="300" w:lineRule="atLeast"/>
              <w:jc w:val="both"/>
              <w:rPr>
                <w:i/>
                <w:color w:val="auto"/>
              </w:rPr>
            </w:pPr>
            <w:r w:rsidRPr="006853BB">
              <w:rPr>
                <w:i/>
                <w:color w:val="auto"/>
              </w:rPr>
              <w:t>[(</w:t>
            </w:r>
            <w:r>
              <w:rPr>
                <w:i/>
                <w:color w:val="auto"/>
              </w:rPr>
              <w:t>3</w:t>
            </w:r>
            <w:r w:rsidRPr="006853BB">
              <w:rPr>
                <w:i/>
                <w:color w:val="auto"/>
              </w:rPr>
              <w:t>) + (</w:t>
            </w:r>
            <w:r>
              <w:rPr>
                <w:i/>
                <w:color w:val="auto"/>
              </w:rPr>
              <w:t>11</w:t>
            </w:r>
            <w:r w:rsidRPr="006853BB">
              <w:rPr>
                <w:i/>
                <w:color w:val="auto"/>
              </w:rPr>
              <w:t>)]/(1)</w:t>
            </w:r>
          </w:p>
        </w:tc>
      </w:tr>
    </w:tbl>
    <w:p w14:paraId="45ED61A7" w14:textId="7BA1A4B7" w:rsidR="00CB6332" w:rsidRDefault="00CB6332"/>
    <w:p w14:paraId="033908B4" w14:textId="77777777" w:rsidR="00E7436A" w:rsidRPr="00E7436A" w:rsidRDefault="00E7436A" w:rsidP="00E7436A">
      <w:pPr>
        <w:jc w:val="right"/>
      </w:pPr>
    </w:p>
    <w:sectPr w:rsidR="00E7436A" w:rsidRPr="00E74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92FE0"/>
    <w:multiLevelType w:val="hybridMultilevel"/>
    <w:tmpl w:val="B31857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6A"/>
    <w:rsid w:val="00CB6332"/>
    <w:rsid w:val="00E7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11C5E"/>
  <w15:chartTrackingRefBased/>
  <w15:docId w15:val="{3E5463A0-2F86-470C-87B6-FF9FCE58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43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McGarr</dc:creator>
  <cp:keywords/>
  <dc:description/>
  <cp:lastModifiedBy>Samuel McGarr</cp:lastModifiedBy>
  <cp:revision>1</cp:revision>
  <dcterms:created xsi:type="dcterms:W3CDTF">2021-09-20T20:29:00Z</dcterms:created>
  <dcterms:modified xsi:type="dcterms:W3CDTF">2021-09-20T20:29:00Z</dcterms:modified>
</cp:coreProperties>
</file>