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9F878C" w14:textId="59DFC97C" w:rsidR="00991115" w:rsidRDefault="00991115" w:rsidP="00990612">
      <w:pPr>
        <w:jc w:val="center"/>
        <w:rPr>
          <w:rFonts w:asciiTheme="majorHAnsi" w:hAnsiTheme="majorHAnsi"/>
          <w:b/>
        </w:rPr>
      </w:pPr>
      <w:bookmarkStart w:id="0" w:name="_Toc502481000"/>
      <w:bookmarkStart w:id="1" w:name="_GoBack"/>
      <w:r w:rsidRPr="00991115">
        <w:rPr>
          <w:rFonts w:asciiTheme="majorHAnsi" w:hAnsiTheme="majorHAnsi"/>
          <w:b/>
        </w:rPr>
        <w:t xml:space="preserve">What is </w:t>
      </w:r>
      <w:proofErr w:type="gramStart"/>
      <w:r w:rsidRPr="00991115">
        <w:rPr>
          <w:rFonts w:asciiTheme="majorHAnsi" w:hAnsiTheme="majorHAnsi"/>
          <w:b/>
        </w:rPr>
        <w:t>Interteaching</w:t>
      </w:r>
      <w:bookmarkEnd w:id="0"/>
      <w:proofErr w:type="gramEnd"/>
      <w:r>
        <w:rPr>
          <w:rFonts w:asciiTheme="majorHAnsi" w:hAnsiTheme="majorHAnsi"/>
          <w:b/>
        </w:rPr>
        <w:t>?</w:t>
      </w:r>
    </w:p>
    <w:p w14:paraId="601FC805" w14:textId="7941808C" w:rsidR="00991115" w:rsidRPr="00991115" w:rsidRDefault="00991115" w:rsidP="00990612">
      <w:pPr>
        <w:jc w:val="center"/>
        <w:rPr>
          <w:rFonts w:asciiTheme="majorHAnsi" w:hAnsiTheme="majorHAnsi"/>
          <w:b/>
        </w:rPr>
      </w:pPr>
      <w:r>
        <w:rPr>
          <w:rFonts w:asciiTheme="majorHAnsi" w:hAnsiTheme="majorHAnsi"/>
          <w:b/>
        </w:rPr>
        <w:t>What Do I Need to Do and Bring To Class?</w:t>
      </w:r>
    </w:p>
    <w:bookmarkEnd w:id="1"/>
    <w:p w14:paraId="3E495091" w14:textId="77777777" w:rsidR="00991115" w:rsidRDefault="00991115" w:rsidP="00991115">
      <w:pPr>
        <w:jc w:val="center"/>
        <w:rPr>
          <w:rFonts w:asciiTheme="majorHAnsi" w:hAnsiTheme="majorHAnsi" w:cs="Times New Roman"/>
        </w:rPr>
      </w:pPr>
    </w:p>
    <w:p w14:paraId="1DA4AD6F" w14:textId="77777777" w:rsidR="00991115" w:rsidRPr="00347658" w:rsidRDefault="00991115" w:rsidP="00991115">
      <w:pPr>
        <w:rPr>
          <w:rFonts w:ascii="Calibri" w:hAnsi="Calibri"/>
          <w:sz w:val="22"/>
          <w:szCs w:val="22"/>
        </w:rPr>
      </w:pPr>
      <w:r w:rsidRPr="00347658">
        <w:rPr>
          <w:rFonts w:ascii="Calibri" w:hAnsi="Calibri"/>
          <w:b/>
          <w:i/>
          <w:sz w:val="22"/>
          <w:szCs w:val="22"/>
        </w:rPr>
        <w:t>Interteaching (IT).</w:t>
      </w:r>
      <w:r w:rsidRPr="00347658">
        <w:rPr>
          <w:rFonts w:ascii="Calibri" w:hAnsi="Calibri"/>
          <w:sz w:val="22"/>
          <w:szCs w:val="22"/>
        </w:rPr>
        <w:t xml:space="preserve"> Interteaching has been described as a “mutually probing, mutually informing conversation between two people” (Boyce &amp; </w:t>
      </w:r>
      <w:proofErr w:type="spellStart"/>
      <w:r w:rsidRPr="00347658">
        <w:rPr>
          <w:rFonts w:ascii="Calibri" w:hAnsi="Calibri"/>
          <w:sz w:val="22"/>
          <w:szCs w:val="22"/>
        </w:rPr>
        <w:t>Hineline</w:t>
      </w:r>
      <w:proofErr w:type="spellEnd"/>
      <w:r w:rsidRPr="00347658">
        <w:rPr>
          <w:rFonts w:ascii="Calibri" w:hAnsi="Calibri"/>
          <w:sz w:val="22"/>
          <w:szCs w:val="22"/>
        </w:rPr>
        <w:t xml:space="preserve">, 2002, p. 220). </w:t>
      </w:r>
      <w:r w:rsidRPr="00347658">
        <w:rPr>
          <w:rFonts w:ascii="Calibri" w:hAnsi="Calibri" w:cs="Arial"/>
          <w:sz w:val="22"/>
          <w:szCs w:val="22"/>
        </w:rPr>
        <w:t xml:space="preserve">Discussing the main points in a reading assignment, clarifying confusing topics, and helping each other better understand course concepts forms the basis of interteaching. IT </w:t>
      </w:r>
      <w:r w:rsidRPr="00347658">
        <w:rPr>
          <w:rFonts w:ascii="Calibri" w:hAnsi="Calibri"/>
          <w:sz w:val="22"/>
          <w:szCs w:val="22"/>
        </w:rPr>
        <w:t xml:space="preserve">consists of the following main components. </w:t>
      </w:r>
    </w:p>
    <w:p w14:paraId="519E3E3C" w14:textId="77777777" w:rsidR="00991115" w:rsidRPr="00347658" w:rsidRDefault="00991115" w:rsidP="00991115">
      <w:pPr>
        <w:rPr>
          <w:rFonts w:ascii="Calibri" w:hAnsi="Calibri"/>
          <w:b/>
          <w:sz w:val="22"/>
          <w:szCs w:val="22"/>
        </w:rPr>
      </w:pPr>
    </w:p>
    <w:p w14:paraId="3EC66581" w14:textId="77777777" w:rsidR="00991115" w:rsidRPr="00347658" w:rsidRDefault="00991115" w:rsidP="00991115">
      <w:pPr>
        <w:rPr>
          <w:rFonts w:ascii="Calibri" w:hAnsi="Calibri"/>
          <w:sz w:val="22"/>
          <w:szCs w:val="22"/>
        </w:rPr>
      </w:pPr>
      <w:r>
        <w:rPr>
          <w:rFonts w:ascii="Calibri" w:hAnsi="Calibri"/>
          <w:b/>
          <w:sz w:val="22"/>
          <w:szCs w:val="22"/>
        </w:rPr>
        <w:t xml:space="preserve">STEP </w:t>
      </w:r>
      <w:r w:rsidRPr="00347658">
        <w:rPr>
          <w:rFonts w:ascii="Calibri" w:hAnsi="Calibri"/>
          <w:b/>
          <w:sz w:val="22"/>
          <w:szCs w:val="22"/>
        </w:rPr>
        <w:t>(1) Preparation Guides (PrepGuides).</w:t>
      </w:r>
      <w:r w:rsidRPr="00347658">
        <w:rPr>
          <w:rFonts w:ascii="Calibri" w:hAnsi="Calibri"/>
          <w:sz w:val="22"/>
          <w:szCs w:val="22"/>
        </w:rPr>
        <w:t xml:space="preserve"> </w:t>
      </w:r>
      <w:r w:rsidRPr="00EF213D">
        <w:rPr>
          <w:rFonts w:ascii="Calibri" w:hAnsi="Calibri"/>
          <w:i/>
          <w:sz w:val="22"/>
          <w:szCs w:val="22"/>
          <w:u w:val="single"/>
        </w:rPr>
        <w:t xml:space="preserve">PRINT OFF AND BRING A HARD COPY OF THE COMPLETED PG WITH YOU! </w:t>
      </w:r>
      <w:r w:rsidRPr="00347658">
        <w:rPr>
          <w:rFonts w:ascii="Calibri" w:hAnsi="Calibri"/>
          <w:sz w:val="22"/>
          <w:szCs w:val="22"/>
        </w:rPr>
        <w:t>First, I have prepared PrepGuides (PGs) for you to complete before class. PGs contain questions designed to guide you through your reading for that day. Most often, the q</w:t>
      </w:r>
      <w:r w:rsidR="008B67B9">
        <w:rPr>
          <w:rFonts w:ascii="Calibri" w:hAnsi="Calibri"/>
          <w:sz w:val="22"/>
          <w:szCs w:val="22"/>
        </w:rPr>
        <w:t xml:space="preserve">uestions will require you to </w:t>
      </w:r>
      <w:r w:rsidRPr="00347658">
        <w:rPr>
          <w:rFonts w:ascii="Calibri" w:hAnsi="Calibri"/>
          <w:sz w:val="22"/>
          <w:szCs w:val="22"/>
        </w:rPr>
        <w:t xml:space="preserve">analyze, synthesize, and evaluate information. You complete the PG before coming to class for the “interteach session.” </w:t>
      </w:r>
    </w:p>
    <w:p w14:paraId="5C30DA4E" w14:textId="77777777" w:rsidR="00991115" w:rsidRPr="00347658" w:rsidRDefault="00991115" w:rsidP="00991115">
      <w:pPr>
        <w:rPr>
          <w:rFonts w:ascii="Calibri" w:hAnsi="Calibri"/>
          <w:b/>
          <w:sz w:val="22"/>
          <w:szCs w:val="22"/>
        </w:rPr>
      </w:pPr>
    </w:p>
    <w:p w14:paraId="5933D75F" w14:textId="77777777" w:rsidR="00991115" w:rsidRPr="00347658" w:rsidRDefault="00991115" w:rsidP="00991115">
      <w:pPr>
        <w:rPr>
          <w:rFonts w:ascii="Calibri" w:hAnsi="Calibri" w:cs="Arial"/>
          <w:sz w:val="22"/>
          <w:szCs w:val="22"/>
        </w:rPr>
      </w:pPr>
      <w:r>
        <w:rPr>
          <w:rFonts w:ascii="Calibri" w:hAnsi="Calibri"/>
          <w:b/>
          <w:sz w:val="22"/>
          <w:szCs w:val="22"/>
        </w:rPr>
        <w:t xml:space="preserve">STEP </w:t>
      </w:r>
      <w:r w:rsidRPr="00347658">
        <w:rPr>
          <w:rFonts w:ascii="Calibri" w:hAnsi="Calibri"/>
          <w:b/>
          <w:sz w:val="22"/>
          <w:szCs w:val="22"/>
        </w:rPr>
        <w:t>(2) Interteach Session.</w:t>
      </w:r>
      <w:r w:rsidRPr="00347658">
        <w:rPr>
          <w:rFonts w:ascii="Calibri" w:hAnsi="Calibri"/>
          <w:sz w:val="22"/>
          <w:szCs w:val="22"/>
        </w:rPr>
        <w:t xml:space="preserve"> </w:t>
      </w:r>
      <w:r w:rsidRPr="00347658">
        <w:rPr>
          <w:rFonts w:ascii="Calibri" w:hAnsi="Calibri" w:cs="Arial"/>
          <w:sz w:val="22"/>
          <w:szCs w:val="22"/>
        </w:rPr>
        <w:t xml:space="preserve">You will use your completed PG to engage in a </w:t>
      </w:r>
      <w:r w:rsidRPr="00347658">
        <w:rPr>
          <w:rFonts w:ascii="Calibri" w:hAnsi="Calibri" w:cs="Arial"/>
          <w:i/>
          <w:sz w:val="22"/>
          <w:szCs w:val="22"/>
        </w:rPr>
        <w:t>discussion</w:t>
      </w:r>
      <w:r w:rsidRPr="00347658">
        <w:rPr>
          <w:rFonts w:ascii="Calibri" w:hAnsi="Calibri" w:cs="Arial"/>
          <w:sz w:val="22"/>
          <w:szCs w:val="22"/>
        </w:rPr>
        <w:t xml:space="preserve"> with a randomly paired classmate about the material. </w:t>
      </w:r>
      <w:r w:rsidRPr="00347658">
        <w:rPr>
          <w:rFonts w:ascii="Calibri" w:hAnsi="Calibri" w:cs="Arial"/>
          <w:i/>
          <w:sz w:val="22"/>
          <w:szCs w:val="22"/>
        </w:rPr>
        <w:t xml:space="preserve">The main point of the IT session is to engage in a reflection and discussion, to explain how you thought about the questions and arrived at your conclusions, not to look up the answers or to simply read answers to each other or to look up your responses (though using your readings in class is encouraged). </w:t>
      </w:r>
      <w:r w:rsidRPr="00347658">
        <w:rPr>
          <w:rFonts w:ascii="Calibri" w:hAnsi="Calibri" w:cs="Arial"/>
          <w:sz w:val="22"/>
          <w:szCs w:val="22"/>
        </w:rPr>
        <w:t>It is a peer-to-peer teaching and learning opportunity. During this time, I will move around the room to facilitate discussion and answer questions. Should you</w:t>
      </w:r>
      <w:r w:rsidR="008B67B9">
        <w:rPr>
          <w:rFonts w:ascii="Calibri" w:hAnsi="Calibri" w:cs="Arial"/>
          <w:sz w:val="22"/>
          <w:szCs w:val="22"/>
        </w:rPr>
        <w:t xml:space="preserve"> find you are finishing much earlier than other, that’s a sign you are not discussing the PG enough or in the right way. </w:t>
      </w:r>
    </w:p>
    <w:p w14:paraId="34DA4D13" w14:textId="77777777" w:rsidR="00991115" w:rsidRPr="00347658" w:rsidRDefault="00991115" w:rsidP="00991115">
      <w:pPr>
        <w:rPr>
          <w:rFonts w:ascii="Calibri" w:hAnsi="Calibri" w:cs="Arial"/>
          <w:b/>
          <w:sz w:val="22"/>
          <w:szCs w:val="22"/>
        </w:rPr>
      </w:pPr>
    </w:p>
    <w:p w14:paraId="35CBAB84" w14:textId="77777777" w:rsidR="00991115" w:rsidRPr="00347658" w:rsidRDefault="00991115" w:rsidP="00991115">
      <w:pPr>
        <w:rPr>
          <w:rFonts w:ascii="Calibri" w:hAnsi="Calibri" w:cs="Arial"/>
          <w:sz w:val="22"/>
          <w:szCs w:val="22"/>
        </w:rPr>
      </w:pPr>
      <w:r>
        <w:rPr>
          <w:rFonts w:ascii="Calibri" w:hAnsi="Calibri" w:cs="Arial"/>
          <w:b/>
          <w:sz w:val="22"/>
          <w:szCs w:val="22"/>
        </w:rPr>
        <w:t xml:space="preserve">STEP </w:t>
      </w:r>
      <w:r w:rsidRPr="00347658">
        <w:rPr>
          <w:rFonts w:ascii="Calibri" w:hAnsi="Calibri" w:cs="Arial"/>
          <w:b/>
          <w:sz w:val="22"/>
          <w:szCs w:val="22"/>
        </w:rPr>
        <w:t>(3) Record Sheet.</w:t>
      </w:r>
      <w:r w:rsidRPr="00347658">
        <w:rPr>
          <w:rFonts w:ascii="Calibri" w:hAnsi="Calibri" w:cs="Arial"/>
          <w:sz w:val="22"/>
          <w:szCs w:val="22"/>
        </w:rPr>
        <w:t xml:space="preserve"> </w:t>
      </w:r>
      <w:r w:rsidRPr="00EF213D">
        <w:rPr>
          <w:rFonts w:ascii="Calibri" w:hAnsi="Calibri"/>
          <w:i/>
          <w:sz w:val="22"/>
          <w:szCs w:val="22"/>
          <w:u w:val="single"/>
        </w:rPr>
        <w:t>PRINT OFF AND BRING A HARD COPY OF A BLANK RECORD SHEET WITH YOU!</w:t>
      </w:r>
      <w:r w:rsidRPr="00EF213D">
        <w:rPr>
          <w:rFonts w:ascii="Calibri" w:hAnsi="Calibri"/>
          <w:i/>
          <w:sz w:val="22"/>
          <w:szCs w:val="22"/>
        </w:rPr>
        <w:t xml:space="preserve"> </w:t>
      </w:r>
      <w:r w:rsidRPr="00347658">
        <w:rPr>
          <w:rFonts w:ascii="Calibri" w:hAnsi="Calibri" w:cs="Arial"/>
          <w:sz w:val="22"/>
          <w:szCs w:val="22"/>
        </w:rPr>
        <w:t xml:space="preserve">After completing a pair discussion, everyone submits a record sheet on which they report (a) the name of their partner, (b) how the discussion went, (c) topics that were difficult to understand, and (d) any additional comments. </w:t>
      </w:r>
      <w:r w:rsidRPr="00347658">
        <w:rPr>
          <w:rFonts w:asciiTheme="majorHAnsi" w:hAnsiTheme="majorHAnsi"/>
          <w:sz w:val="22"/>
          <w:szCs w:val="22"/>
        </w:rPr>
        <w:t>I then use that information to determine how to proceed with that class or the next such that I spend most of our time discussing those topics collectively deemed the most challenging or interesting to you.</w:t>
      </w:r>
    </w:p>
    <w:p w14:paraId="617FCA15" w14:textId="77777777" w:rsidR="00991115" w:rsidRPr="00347658" w:rsidRDefault="00991115" w:rsidP="00991115">
      <w:pPr>
        <w:rPr>
          <w:rFonts w:ascii="Calibri" w:hAnsi="Calibri" w:cs="Arial"/>
          <w:sz w:val="22"/>
          <w:szCs w:val="22"/>
        </w:rPr>
      </w:pPr>
    </w:p>
    <w:p w14:paraId="7E786D61" w14:textId="77777777" w:rsidR="00991115" w:rsidRPr="00D0516E" w:rsidRDefault="00991115" w:rsidP="00991115">
      <w:pPr>
        <w:rPr>
          <w:rFonts w:asciiTheme="majorHAnsi" w:hAnsiTheme="majorHAnsi" w:cs="Arial"/>
          <w:sz w:val="22"/>
          <w:szCs w:val="22"/>
        </w:rPr>
      </w:pPr>
      <w:r w:rsidRPr="00347658">
        <w:rPr>
          <w:rFonts w:asciiTheme="majorHAnsi" w:hAnsiTheme="majorHAnsi"/>
          <w:b/>
          <w:i/>
          <w:sz w:val="22"/>
          <w:szCs w:val="22"/>
        </w:rPr>
        <w:t>How are PGs and ITs Scored?</w:t>
      </w:r>
      <w:r w:rsidRPr="00347658">
        <w:rPr>
          <w:rFonts w:asciiTheme="majorHAnsi" w:hAnsiTheme="majorHAnsi"/>
          <w:sz w:val="22"/>
          <w:szCs w:val="22"/>
        </w:rPr>
        <w:t xml:space="preserve">  Your PGs will be scored completely on my perception of your effort. These are not intended to be “homework” meant to test your complete understanding of a topic. Rather, they are meant to be a tool to help you learn more in depth than reading alone and to help us spark </w:t>
      </w:r>
      <w:proofErr w:type="gramStart"/>
      <w:r w:rsidRPr="00347658">
        <w:rPr>
          <w:rFonts w:asciiTheme="majorHAnsi" w:hAnsiTheme="majorHAnsi"/>
          <w:sz w:val="22"/>
          <w:szCs w:val="22"/>
        </w:rPr>
        <w:t>interesting</w:t>
      </w:r>
      <w:proofErr w:type="gramEnd"/>
      <w:r w:rsidRPr="00347658">
        <w:rPr>
          <w:rFonts w:asciiTheme="majorHAnsi" w:hAnsiTheme="majorHAnsi"/>
          <w:sz w:val="22"/>
          <w:szCs w:val="22"/>
        </w:rPr>
        <w:t xml:space="preserve"> class discussions.  If you put in an honest, g</w:t>
      </w:r>
      <w:r>
        <w:rPr>
          <w:rFonts w:asciiTheme="majorHAnsi" w:hAnsiTheme="majorHAnsi"/>
          <w:sz w:val="22"/>
          <w:szCs w:val="22"/>
        </w:rPr>
        <w:t>ood effort that you are proud of</w:t>
      </w:r>
      <w:r w:rsidRPr="00347658">
        <w:rPr>
          <w:rFonts w:asciiTheme="majorHAnsi" w:hAnsiTheme="majorHAnsi"/>
          <w:sz w:val="22"/>
          <w:szCs w:val="22"/>
        </w:rPr>
        <w:t xml:space="preserve">, you will earn full credit every time. Note that I will factor </w:t>
      </w:r>
      <w:r>
        <w:rPr>
          <w:rFonts w:asciiTheme="majorHAnsi" w:hAnsiTheme="majorHAnsi"/>
          <w:sz w:val="22"/>
          <w:szCs w:val="22"/>
        </w:rPr>
        <w:t xml:space="preserve">into your scores </w:t>
      </w:r>
      <w:r w:rsidRPr="00347658">
        <w:rPr>
          <w:rFonts w:asciiTheme="majorHAnsi" w:hAnsiTheme="majorHAnsi"/>
          <w:sz w:val="22"/>
          <w:szCs w:val="22"/>
        </w:rPr>
        <w:t>ratings of students by their discussion partners as a measu</w:t>
      </w:r>
      <w:r>
        <w:rPr>
          <w:rFonts w:asciiTheme="majorHAnsi" w:hAnsiTheme="majorHAnsi"/>
          <w:sz w:val="22"/>
          <w:szCs w:val="22"/>
        </w:rPr>
        <w:t xml:space="preserve">re of effort and preparedness. </w:t>
      </w:r>
      <w:r w:rsidRPr="00347658">
        <w:rPr>
          <w:rFonts w:asciiTheme="majorHAnsi" w:hAnsiTheme="majorHAnsi"/>
          <w:sz w:val="22"/>
          <w:szCs w:val="22"/>
        </w:rPr>
        <w:t xml:space="preserve">Recall, all </w:t>
      </w:r>
      <w:r w:rsidRPr="00EF213D">
        <w:rPr>
          <w:rFonts w:asciiTheme="majorHAnsi" w:hAnsiTheme="majorHAnsi" w:cstheme="majorHAnsi"/>
          <w:i/>
          <w:sz w:val="22"/>
          <w:szCs w:val="22"/>
          <w:u w:val="single"/>
        </w:rPr>
        <w:t>PGs are due by 9:00 a.m. the day the reading is due, as listed in the schedule</w:t>
      </w:r>
      <w:r w:rsidRPr="00347658">
        <w:rPr>
          <w:rFonts w:asciiTheme="majorHAnsi" w:hAnsiTheme="majorHAnsi" w:cstheme="majorHAnsi"/>
          <w:i/>
          <w:sz w:val="22"/>
          <w:szCs w:val="22"/>
        </w:rPr>
        <w:t>.</w:t>
      </w:r>
      <w:r>
        <w:rPr>
          <w:rFonts w:asciiTheme="majorHAnsi" w:hAnsiTheme="majorHAnsi" w:cstheme="majorHAnsi"/>
          <w:i/>
          <w:sz w:val="22"/>
          <w:szCs w:val="22"/>
        </w:rPr>
        <w:t xml:space="preserve">  Also recall from the syllabus that you cannot earn full credit on a PG/IT unless you are present for the IT session. See the syllabus for details. </w:t>
      </w:r>
    </w:p>
    <w:p w14:paraId="6D0915B3" w14:textId="77777777" w:rsidR="00991115" w:rsidRPr="00347658" w:rsidRDefault="00991115" w:rsidP="00991115">
      <w:pPr>
        <w:rPr>
          <w:rFonts w:ascii="Calibri" w:hAnsi="Calibri" w:cs="Arial"/>
          <w:b/>
          <w:sz w:val="22"/>
          <w:szCs w:val="22"/>
        </w:rPr>
      </w:pPr>
    </w:p>
    <w:p w14:paraId="109270C9" w14:textId="77777777" w:rsidR="00191C4E" w:rsidRPr="00991115" w:rsidRDefault="00991115">
      <w:pPr>
        <w:rPr>
          <w:rFonts w:ascii="Calibri" w:hAnsi="Calibri"/>
          <w:sz w:val="22"/>
          <w:szCs w:val="22"/>
        </w:rPr>
      </w:pPr>
      <w:r w:rsidRPr="00347658">
        <w:rPr>
          <w:rFonts w:ascii="Calibri" w:hAnsi="Calibri"/>
          <w:b/>
          <w:sz w:val="22"/>
          <w:szCs w:val="22"/>
        </w:rPr>
        <w:t>Why do I use this practice?</w:t>
      </w:r>
      <w:r w:rsidRPr="00347658">
        <w:rPr>
          <w:rFonts w:ascii="Calibri" w:hAnsi="Calibri"/>
          <w:sz w:val="22"/>
          <w:szCs w:val="22"/>
        </w:rPr>
        <w:t xml:space="preserve">  Because it is empirically supported! The consensus of the research is that interteaching improves academic performance over a traditional lecture format (e.g., </w:t>
      </w:r>
      <w:proofErr w:type="spellStart"/>
      <w:r w:rsidRPr="00347658">
        <w:rPr>
          <w:rFonts w:ascii="Calibri" w:hAnsi="Calibri"/>
          <w:sz w:val="22"/>
          <w:szCs w:val="22"/>
        </w:rPr>
        <w:t>Arntzen</w:t>
      </w:r>
      <w:proofErr w:type="spellEnd"/>
      <w:r w:rsidRPr="00347658">
        <w:rPr>
          <w:rFonts w:ascii="Calibri" w:hAnsi="Calibri"/>
          <w:sz w:val="22"/>
          <w:szCs w:val="22"/>
        </w:rPr>
        <w:t xml:space="preserve"> &amp; </w:t>
      </w:r>
      <w:proofErr w:type="spellStart"/>
      <w:r w:rsidRPr="00347658">
        <w:rPr>
          <w:rFonts w:ascii="Calibri" w:hAnsi="Calibri"/>
          <w:sz w:val="22"/>
          <w:szCs w:val="22"/>
        </w:rPr>
        <w:t>Hoium</w:t>
      </w:r>
      <w:proofErr w:type="spellEnd"/>
      <w:r w:rsidRPr="00347658">
        <w:rPr>
          <w:rFonts w:ascii="Calibri" w:hAnsi="Calibri"/>
          <w:sz w:val="22"/>
          <w:szCs w:val="22"/>
        </w:rPr>
        <w:t xml:space="preserve">, 2010; </w:t>
      </w:r>
      <w:proofErr w:type="spellStart"/>
      <w:r w:rsidRPr="00347658">
        <w:rPr>
          <w:rFonts w:ascii="Calibri" w:hAnsi="Calibri"/>
          <w:sz w:val="22"/>
          <w:szCs w:val="22"/>
        </w:rPr>
        <w:t>Saville</w:t>
      </w:r>
      <w:proofErr w:type="spellEnd"/>
      <w:r w:rsidRPr="00347658">
        <w:rPr>
          <w:rFonts w:ascii="Calibri" w:hAnsi="Calibri"/>
          <w:sz w:val="22"/>
          <w:szCs w:val="22"/>
        </w:rPr>
        <w:t> </w:t>
      </w:r>
      <w:r w:rsidRPr="00347658">
        <w:rPr>
          <w:rFonts w:ascii="Calibri" w:hAnsi="Calibri"/>
          <w:i/>
          <w:iCs/>
          <w:sz w:val="22"/>
          <w:szCs w:val="22"/>
        </w:rPr>
        <w:t>et al.,</w:t>
      </w:r>
      <w:r w:rsidRPr="00347658">
        <w:rPr>
          <w:rFonts w:ascii="Calibri" w:hAnsi="Calibri"/>
          <w:sz w:val="22"/>
          <w:szCs w:val="22"/>
        </w:rPr>
        <w:t xml:space="preserve"> 2005; </w:t>
      </w:r>
      <w:proofErr w:type="spellStart"/>
      <w:r w:rsidRPr="00347658">
        <w:rPr>
          <w:rFonts w:ascii="Calibri" w:hAnsi="Calibri"/>
          <w:sz w:val="22"/>
          <w:szCs w:val="22"/>
        </w:rPr>
        <w:t>Saville</w:t>
      </w:r>
      <w:proofErr w:type="spellEnd"/>
      <w:r w:rsidRPr="00347658">
        <w:rPr>
          <w:rFonts w:ascii="Calibri" w:hAnsi="Calibri"/>
          <w:sz w:val="22"/>
          <w:szCs w:val="22"/>
        </w:rPr>
        <w:t> </w:t>
      </w:r>
      <w:r w:rsidRPr="00347658">
        <w:rPr>
          <w:rFonts w:ascii="Calibri" w:hAnsi="Calibri"/>
          <w:i/>
          <w:iCs/>
          <w:sz w:val="22"/>
          <w:szCs w:val="22"/>
        </w:rPr>
        <w:t>et al.,</w:t>
      </w:r>
      <w:r w:rsidRPr="00347658">
        <w:rPr>
          <w:rFonts w:ascii="Calibri" w:hAnsi="Calibri"/>
          <w:sz w:val="22"/>
          <w:szCs w:val="22"/>
        </w:rPr>
        <w:t> 2006), results in higher academic achievement in the form of homework, class participation (</w:t>
      </w:r>
      <w:proofErr w:type="spellStart"/>
      <w:r w:rsidRPr="00347658">
        <w:rPr>
          <w:rFonts w:ascii="Calibri" w:hAnsi="Calibri"/>
          <w:sz w:val="22"/>
          <w:szCs w:val="22"/>
        </w:rPr>
        <w:t>Filipiak</w:t>
      </w:r>
      <w:proofErr w:type="spellEnd"/>
      <w:r w:rsidRPr="00347658">
        <w:rPr>
          <w:rFonts w:ascii="Calibri" w:hAnsi="Calibri"/>
          <w:sz w:val="22"/>
          <w:szCs w:val="22"/>
        </w:rPr>
        <w:t> </w:t>
      </w:r>
      <w:r w:rsidRPr="00347658">
        <w:rPr>
          <w:rFonts w:ascii="Calibri" w:hAnsi="Calibri"/>
          <w:i/>
          <w:iCs/>
          <w:sz w:val="22"/>
          <w:szCs w:val="22"/>
        </w:rPr>
        <w:t>et al.,</w:t>
      </w:r>
      <w:r w:rsidRPr="00347658">
        <w:rPr>
          <w:rFonts w:ascii="Calibri" w:hAnsi="Calibri"/>
          <w:sz w:val="22"/>
          <w:szCs w:val="22"/>
        </w:rPr>
        <w:t xml:space="preserve"> 2010; </w:t>
      </w:r>
      <w:proofErr w:type="spellStart"/>
      <w:r w:rsidRPr="00347658">
        <w:rPr>
          <w:rFonts w:ascii="Calibri" w:hAnsi="Calibri"/>
          <w:sz w:val="22"/>
          <w:szCs w:val="22"/>
        </w:rPr>
        <w:t>Rehfeldt</w:t>
      </w:r>
      <w:proofErr w:type="spellEnd"/>
      <w:r w:rsidRPr="00347658">
        <w:rPr>
          <w:rFonts w:ascii="Calibri" w:hAnsi="Calibri"/>
          <w:sz w:val="22"/>
          <w:szCs w:val="22"/>
        </w:rPr>
        <w:t> </w:t>
      </w:r>
      <w:r w:rsidRPr="00347658">
        <w:rPr>
          <w:rFonts w:ascii="Calibri" w:hAnsi="Calibri"/>
          <w:i/>
          <w:iCs/>
          <w:sz w:val="22"/>
          <w:szCs w:val="22"/>
        </w:rPr>
        <w:t>et al.,</w:t>
      </w:r>
      <w:r w:rsidRPr="00347658">
        <w:rPr>
          <w:rFonts w:ascii="Calibri" w:hAnsi="Calibri"/>
          <w:sz w:val="22"/>
          <w:szCs w:val="22"/>
        </w:rPr>
        <w:t xml:space="preserve"> 2010; </w:t>
      </w:r>
      <w:proofErr w:type="spellStart"/>
      <w:r w:rsidRPr="00347658">
        <w:rPr>
          <w:rFonts w:ascii="Calibri" w:hAnsi="Calibri"/>
          <w:sz w:val="22"/>
          <w:szCs w:val="22"/>
        </w:rPr>
        <w:t>Saville</w:t>
      </w:r>
      <w:proofErr w:type="spellEnd"/>
      <w:r w:rsidRPr="00347658">
        <w:rPr>
          <w:rFonts w:ascii="Calibri" w:hAnsi="Calibri"/>
          <w:sz w:val="22"/>
          <w:szCs w:val="22"/>
        </w:rPr>
        <w:t> </w:t>
      </w:r>
      <w:r w:rsidRPr="00347658">
        <w:rPr>
          <w:rFonts w:ascii="Calibri" w:hAnsi="Calibri"/>
          <w:i/>
          <w:iCs/>
          <w:sz w:val="22"/>
          <w:szCs w:val="22"/>
        </w:rPr>
        <w:t>et al., </w:t>
      </w:r>
      <w:r w:rsidRPr="00347658">
        <w:rPr>
          <w:rFonts w:ascii="Calibri" w:hAnsi="Calibri"/>
          <w:sz w:val="22"/>
          <w:szCs w:val="22"/>
        </w:rPr>
        <w:t>2012), better performance on quizzes and tests (</w:t>
      </w:r>
      <w:proofErr w:type="spellStart"/>
      <w:r w:rsidRPr="00347658">
        <w:rPr>
          <w:rFonts w:ascii="Calibri" w:hAnsi="Calibri"/>
          <w:sz w:val="22"/>
          <w:szCs w:val="22"/>
        </w:rPr>
        <w:t>Arntzen</w:t>
      </w:r>
      <w:proofErr w:type="spellEnd"/>
      <w:r w:rsidRPr="00347658">
        <w:rPr>
          <w:rFonts w:ascii="Calibri" w:hAnsi="Calibri"/>
          <w:sz w:val="22"/>
          <w:szCs w:val="22"/>
        </w:rPr>
        <w:t xml:space="preserve"> &amp; </w:t>
      </w:r>
      <w:proofErr w:type="spellStart"/>
      <w:r w:rsidRPr="00347658">
        <w:rPr>
          <w:rFonts w:ascii="Calibri" w:hAnsi="Calibri"/>
          <w:sz w:val="22"/>
          <w:szCs w:val="22"/>
        </w:rPr>
        <w:t>Hoium</w:t>
      </w:r>
      <w:proofErr w:type="spellEnd"/>
      <w:r w:rsidRPr="00347658">
        <w:rPr>
          <w:rFonts w:ascii="Calibri" w:hAnsi="Calibri"/>
          <w:sz w:val="22"/>
          <w:szCs w:val="22"/>
        </w:rPr>
        <w:t xml:space="preserve">, 2010; </w:t>
      </w:r>
      <w:proofErr w:type="spellStart"/>
      <w:r w:rsidRPr="00347658">
        <w:rPr>
          <w:rFonts w:ascii="Calibri" w:hAnsi="Calibri"/>
          <w:sz w:val="22"/>
          <w:szCs w:val="22"/>
        </w:rPr>
        <w:t>Filipiak</w:t>
      </w:r>
      <w:proofErr w:type="spellEnd"/>
      <w:r w:rsidRPr="00347658">
        <w:rPr>
          <w:rFonts w:ascii="Calibri" w:hAnsi="Calibri"/>
          <w:sz w:val="22"/>
          <w:szCs w:val="22"/>
        </w:rPr>
        <w:t> </w:t>
      </w:r>
      <w:r w:rsidRPr="00347658">
        <w:rPr>
          <w:rFonts w:ascii="Calibri" w:hAnsi="Calibri"/>
          <w:i/>
          <w:iCs/>
          <w:sz w:val="22"/>
          <w:szCs w:val="22"/>
        </w:rPr>
        <w:t>et al.,</w:t>
      </w:r>
      <w:r w:rsidRPr="00347658">
        <w:rPr>
          <w:rFonts w:ascii="Calibri" w:hAnsi="Calibri"/>
          <w:sz w:val="22"/>
          <w:szCs w:val="22"/>
        </w:rPr>
        <w:t xml:space="preserve"> 2010; </w:t>
      </w:r>
      <w:proofErr w:type="spellStart"/>
      <w:r w:rsidRPr="00347658">
        <w:rPr>
          <w:rFonts w:ascii="Calibri" w:hAnsi="Calibri"/>
          <w:sz w:val="22"/>
          <w:szCs w:val="22"/>
        </w:rPr>
        <w:t>Scoboria</w:t>
      </w:r>
      <w:proofErr w:type="spellEnd"/>
      <w:r w:rsidRPr="00347658">
        <w:rPr>
          <w:rFonts w:ascii="Calibri" w:hAnsi="Calibri"/>
          <w:sz w:val="22"/>
          <w:szCs w:val="22"/>
        </w:rPr>
        <w:t xml:space="preserve"> &amp; </w:t>
      </w:r>
      <w:proofErr w:type="spellStart"/>
      <w:r w:rsidRPr="00347658">
        <w:rPr>
          <w:rFonts w:ascii="Calibri" w:hAnsi="Calibri"/>
          <w:sz w:val="22"/>
          <w:szCs w:val="22"/>
        </w:rPr>
        <w:t>Pascual</w:t>
      </w:r>
      <w:proofErr w:type="spellEnd"/>
      <w:r w:rsidRPr="00347658">
        <w:rPr>
          <w:rFonts w:ascii="Calibri" w:hAnsi="Calibri"/>
          <w:sz w:val="22"/>
          <w:szCs w:val="22"/>
        </w:rPr>
        <w:t>-Leone, 2009), higher end-of-semester exam scores (</w:t>
      </w:r>
      <w:proofErr w:type="spellStart"/>
      <w:r w:rsidRPr="00347658">
        <w:rPr>
          <w:rFonts w:ascii="Calibri" w:hAnsi="Calibri"/>
          <w:sz w:val="22"/>
          <w:szCs w:val="22"/>
        </w:rPr>
        <w:t>Saville</w:t>
      </w:r>
      <w:proofErr w:type="spellEnd"/>
      <w:r w:rsidRPr="00347658">
        <w:rPr>
          <w:rFonts w:ascii="Calibri" w:hAnsi="Calibri"/>
          <w:sz w:val="22"/>
          <w:szCs w:val="22"/>
        </w:rPr>
        <w:t> </w:t>
      </w:r>
      <w:r w:rsidRPr="00347658">
        <w:rPr>
          <w:rFonts w:ascii="Calibri" w:hAnsi="Calibri"/>
          <w:i/>
          <w:iCs/>
          <w:sz w:val="22"/>
          <w:szCs w:val="22"/>
        </w:rPr>
        <w:t>et al., </w:t>
      </w:r>
      <w:r w:rsidRPr="00347658">
        <w:rPr>
          <w:rFonts w:ascii="Calibri" w:hAnsi="Calibri"/>
          <w:sz w:val="22"/>
          <w:szCs w:val="22"/>
        </w:rPr>
        <w:t xml:space="preserve">2012; </w:t>
      </w:r>
      <w:proofErr w:type="spellStart"/>
      <w:r w:rsidRPr="00347658">
        <w:rPr>
          <w:rFonts w:ascii="Calibri" w:hAnsi="Calibri"/>
          <w:sz w:val="22"/>
          <w:szCs w:val="22"/>
        </w:rPr>
        <w:t>Saville</w:t>
      </w:r>
      <w:proofErr w:type="spellEnd"/>
      <w:r w:rsidRPr="00347658">
        <w:rPr>
          <w:rFonts w:ascii="Calibri" w:hAnsi="Calibri"/>
          <w:sz w:val="22"/>
          <w:szCs w:val="22"/>
        </w:rPr>
        <w:t xml:space="preserve"> &amp; </w:t>
      </w:r>
      <w:proofErr w:type="spellStart"/>
      <w:r w:rsidRPr="00347658">
        <w:rPr>
          <w:rFonts w:ascii="Calibri" w:hAnsi="Calibri"/>
          <w:sz w:val="22"/>
          <w:szCs w:val="22"/>
        </w:rPr>
        <w:t>Zinn</w:t>
      </w:r>
      <w:proofErr w:type="spellEnd"/>
      <w:r w:rsidRPr="00347658">
        <w:rPr>
          <w:rFonts w:ascii="Calibri" w:hAnsi="Calibri"/>
          <w:sz w:val="22"/>
          <w:szCs w:val="22"/>
        </w:rPr>
        <w:t xml:space="preserve">, 2009; </w:t>
      </w:r>
      <w:proofErr w:type="spellStart"/>
      <w:r w:rsidRPr="00347658">
        <w:rPr>
          <w:rFonts w:ascii="Calibri" w:hAnsi="Calibri"/>
          <w:sz w:val="22"/>
          <w:szCs w:val="22"/>
        </w:rPr>
        <w:t>Saville</w:t>
      </w:r>
      <w:proofErr w:type="spellEnd"/>
      <w:r w:rsidRPr="00347658">
        <w:rPr>
          <w:rFonts w:ascii="Calibri" w:hAnsi="Calibri"/>
          <w:sz w:val="22"/>
          <w:szCs w:val="22"/>
        </w:rPr>
        <w:t> </w:t>
      </w:r>
      <w:r w:rsidRPr="00347658">
        <w:rPr>
          <w:rFonts w:ascii="Calibri" w:hAnsi="Calibri"/>
          <w:i/>
          <w:iCs/>
          <w:sz w:val="22"/>
          <w:szCs w:val="22"/>
        </w:rPr>
        <w:t>et al.,</w:t>
      </w:r>
      <w:r w:rsidRPr="00347658">
        <w:rPr>
          <w:rFonts w:ascii="Calibri" w:hAnsi="Calibri"/>
          <w:sz w:val="22"/>
          <w:szCs w:val="22"/>
        </w:rPr>
        <w:t> 2006), and superior long-term recognition memory (</w:t>
      </w:r>
      <w:proofErr w:type="spellStart"/>
      <w:r w:rsidRPr="00347658">
        <w:rPr>
          <w:rFonts w:ascii="Calibri" w:hAnsi="Calibri"/>
          <w:sz w:val="22"/>
          <w:szCs w:val="22"/>
        </w:rPr>
        <w:t>Saville</w:t>
      </w:r>
      <w:proofErr w:type="spellEnd"/>
      <w:r w:rsidRPr="00347658">
        <w:rPr>
          <w:rFonts w:ascii="Calibri" w:hAnsi="Calibri"/>
          <w:sz w:val="22"/>
          <w:szCs w:val="22"/>
        </w:rPr>
        <w:t> </w:t>
      </w:r>
      <w:r w:rsidRPr="00347658">
        <w:rPr>
          <w:rFonts w:ascii="Calibri" w:hAnsi="Calibri"/>
          <w:i/>
          <w:iCs/>
          <w:sz w:val="22"/>
          <w:szCs w:val="22"/>
        </w:rPr>
        <w:t>et al.,</w:t>
      </w:r>
      <w:r w:rsidRPr="00347658">
        <w:rPr>
          <w:rFonts w:ascii="Calibri" w:hAnsi="Calibri"/>
          <w:sz w:val="22"/>
          <w:szCs w:val="22"/>
        </w:rPr>
        <w:t xml:space="preserve"> 2014). In short, it works for you as long as you work it.  </w:t>
      </w:r>
    </w:p>
    <w:sectPr w:rsidR="00191C4E" w:rsidRPr="00991115" w:rsidSect="003C11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115"/>
    <w:rsid w:val="00191C4E"/>
    <w:rsid w:val="003C113F"/>
    <w:rsid w:val="008B67B9"/>
    <w:rsid w:val="00990612"/>
    <w:rsid w:val="009911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70237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115"/>
    <w:rPr>
      <w:lang w:eastAsia="ja-JP"/>
    </w:rPr>
  </w:style>
  <w:style w:type="paragraph" w:styleId="Heading1">
    <w:name w:val="heading 1"/>
    <w:basedOn w:val="Normal"/>
    <w:next w:val="Normal"/>
    <w:link w:val="Heading1Char"/>
    <w:uiPriority w:val="1"/>
    <w:qFormat/>
    <w:rsid w:val="0099111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91115"/>
    <w:rPr>
      <w:rFonts w:asciiTheme="majorHAnsi" w:eastAsiaTheme="majorEastAsia" w:hAnsiTheme="majorHAnsi" w:cstheme="majorBidi"/>
      <w:b/>
      <w:bCs/>
      <w:color w:val="345A8A" w:themeColor="accent1" w:themeShade="B5"/>
      <w:sz w:val="32"/>
      <w:szCs w:val="32"/>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115"/>
    <w:rPr>
      <w:lang w:eastAsia="ja-JP"/>
    </w:rPr>
  </w:style>
  <w:style w:type="paragraph" w:styleId="Heading1">
    <w:name w:val="heading 1"/>
    <w:basedOn w:val="Normal"/>
    <w:next w:val="Normal"/>
    <w:link w:val="Heading1Char"/>
    <w:uiPriority w:val="1"/>
    <w:qFormat/>
    <w:rsid w:val="0099111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91115"/>
    <w:rPr>
      <w:rFonts w:asciiTheme="majorHAnsi" w:eastAsiaTheme="majorEastAsia" w:hAnsiTheme="majorHAnsi" w:cstheme="majorBidi"/>
      <w:b/>
      <w:bCs/>
      <w:color w:val="345A8A" w:themeColor="accent1" w:themeShade="B5"/>
      <w:sz w:val="32"/>
      <w:szCs w:val="3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549</Words>
  <Characters>3132</Characters>
  <Application>Microsoft Macintosh Word</Application>
  <DocSecurity>0</DocSecurity>
  <Lines>26</Lines>
  <Paragraphs>7</Paragraphs>
  <ScaleCrop>false</ScaleCrop>
  <Company>Birmingham-Southern College</Company>
  <LinksUpToDate>false</LinksUpToDate>
  <CharactersWithSpaces>3674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Pitts</dc:creator>
  <cp:keywords/>
  <dc:description/>
  <cp:lastModifiedBy>Shane Pitts</cp:lastModifiedBy>
  <cp:revision>3</cp:revision>
  <dcterms:created xsi:type="dcterms:W3CDTF">2022-01-29T14:15:00Z</dcterms:created>
  <dcterms:modified xsi:type="dcterms:W3CDTF">2022-01-31T18:01:00Z</dcterms:modified>
</cp:coreProperties>
</file>