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EB Garamond" w:cs="EB Garamond" w:eastAsia="EB Garamond" w:hAnsi="EB Garamond"/>
          <w:b w:val="1"/>
          <w:sz w:val="24"/>
          <w:szCs w:val="24"/>
          <w:u w:val="single"/>
        </w:rPr>
      </w:pPr>
      <w:r w:rsidDel="00000000" w:rsidR="00000000" w:rsidRPr="00000000">
        <w:rPr>
          <w:rFonts w:ascii="EB Garamond" w:cs="EB Garamond" w:eastAsia="EB Garamond" w:hAnsi="EB Garamond"/>
          <w:b w:val="1"/>
          <w:sz w:val="24"/>
          <w:szCs w:val="24"/>
          <w:u w:val="single"/>
          <w:rtl w:val="0"/>
        </w:rPr>
        <w:t xml:space="preserve">Research Paper Assignment</w:t>
      </w:r>
    </w:p>
    <w:p w:rsidR="00000000" w:rsidDel="00000000" w:rsidP="00000000" w:rsidRDefault="00000000" w:rsidRPr="00000000" w14:paraId="00000002">
      <w:pPr>
        <w:pageBreakBefore w:val="0"/>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03">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Assignment:</w:t>
      </w:r>
    </w:p>
    <w:p w:rsidR="00000000" w:rsidDel="00000000" w:rsidP="00000000" w:rsidRDefault="00000000" w:rsidRPr="00000000" w14:paraId="00000004">
      <w:pPr>
        <w:pageBreakBefore w:val="0"/>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05">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For this unit, you’ll be writing a research paper. More specifically, you’ll be writing about how your topic reflects the complicated relationship between heroic and villainous figures and the culture that creates and consumes them. Essentially, you’re taking the close reading skills you used in the Text Analysis essay and amping it up by combining it with the (hopefully) proper academic research you exercised in the Annotated Bibliography.</w:t>
      </w:r>
    </w:p>
    <w:p w:rsidR="00000000" w:rsidDel="00000000" w:rsidP="00000000" w:rsidRDefault="00000000" w:rsidRPr="00000000" w14:paraId="00000006">
      <w:pPr>
        <w:pageBreakBefore w:val="0"/>
        <w:widowControl w:val="0"/>
        <w:spacing w:before="436.8" w:lineRule="auto"/>
        <w:ind w:right="120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Make sure your essay includes the following:</w:t>
      </w:r>
    </w:p>
    <w:p w:rsidR="00000000" w:rsidDel="00000000" w:rsidP="00000000" w:rsidRDefault="00000000" w:rsidRPr="00000000" w14:paraId="00000007">
      <w:pPr>
        <w:pageBreakBefore w:val="0"/>
        <w:widowControl w:val="0"/>
        <w:ind w:right="120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1) A thesis that articulates the paper’s central argument or claim </w:t>
      </w:r>
    </w:p>
    <w:p w:rsidR="00000000" w:rsidDel="00000000" w:rsidP="00000000" w:rsidRDefault="00000000" w:rsidRPr="00000000" w14:paraId="00000008">
      <w:pPr>
        <w:pageBreakBefore w:val="0"/>
        <w:widowControl w:val="0"/>
        <w:ind w:right="120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 Research from eight or more reliable sources to help support your argument</w:t>
      </w:r>
    </w:p>
    <w:p w:rsidR="00000000" w:rsidDel="00000000" w:rsidP="00000000" w:rsidRDefault="00000000" w:rsidRPr="00000000" w14:paraId="00000009">
      <w:pPr>
        <w:pageBreakBefore w:val="0"/>
        <w:widowControl w:val="0"/>
        <w:ind w:right="120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 Consideration of a potential rebuttal/counterargument</w:t>
      </w:r>
    </w:p>
    <w:p w:rsidR="00000000" w:rsidDel="00000000" w:rsidP="00000000" w:rsidRDefault="00000000" w:rsidRPr="00000000" w14:paraId="0000000A">
      <w:pPr>
        <w:pageBreakBefore w:val="0"/>
        <w:widowControl w:val="0"/>
        <w:ind w:right="120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 Clear command of style and grammar (transitions, quote integration, etc.)</w:t>
      </w:r>
    </w:p>
    <w:p w:rsidR="00000000" w:rsidDel="00000000" w:rsidP="00000000" w:rsidRDefault="00000000" w:rsidRPr="00000000" w14:paraId="0000000B">
      <w:pPr>
        <w:pageBreakBefore w:val="0"/>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0C">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As I’ve said multiple times, writers don’t write into the void; they’re writing for other people, trying to enter and help create a conversation about their given topic. Now, you’re going to be doing the same thing. By reading and building off of other academic sources, you should be able to craft your own well-developed and intelligent argument concerning your topic. This is where all the smaller parts come together: close reading, cultural context, concrete source usage, and quality writing skills.</w:t>
      </w:r>
    </w:p>
    <w:p w:rsidR="00000000" w:rsidDel="00000000" w:rsidP="00000000" w:rsidRDefault="00000000" w:rsidRPr="00000000" w14:paraId="0000000D">
      <w:pPr>
        <w:pageBreakBefore w:val="0"/>
        <w:rPr>
          <w:rFonts w:ascii="EB Garamond" w:cs="EB Garamond" w:eastAsia="EB Garamond" w:hAnsi="EB Garamond"/>
          <w:sz w:val="24"/>
          <w:szCs w:val="24"/>
        </w:rPr>
      </w:pPr>
      <w:r w:rsidDel="00000000" w:rsidR="00000000" w:rsidRPr="00000000">
        <w:rPr>
          <w:rtl w:val="0"/>
        </w:rPr>
      </w:r>
    </w:p>
    <w:p w:rsidR="00000000" w:rsidDel="00000000" w:rsidP="00000000" w:rsidRDefault="00000000" w:rsidRPr="00000000" w14:paraId="0000000E">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Details:</w:t>
      </w:r>
    </w:p>
    <w:p w:rsidR="00000000" w:rsidDel="00000000" w:rsidP="00000000" w:rsidRDefault="00000000" w:rsidRPr="00000000" w14:paraId="0000000F">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 1) Essay should be about 6-8 pages </w:t>
      </w:r>
    </w:p>
    <w:p w:rsidR="00000000" w:rsidDel="00000000" w:rsidP="00000000" w:rsidRDefault="00000000" w:rsidRPr="00000000" w14:paraId="00000010">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2) Minimum of eight sources </w:t>
      </w:r>
    </w:p>
    <w:p w:rsidR="00000000" w:rsidDel="00000000" w:rsidP="00000000" w:rsidRDefault="00000000" w:rsidRPr="00000000" w14:paraId="00000011">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3) Must use proper MLA formatting</w:t>
      </w:r>
    </w:p>
    <w:p w:rsidR="00000000" w:rsidDel="00000000" w:rsidP="00000000" w:rsidRDefault="00000000" w:rsidRPr="00000000" w14:paraId="00000012">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4) 12 pt., double-spaced professional looking font</w:t>
      </w:r>
    </w:p>
    <w:p w:rsidR="00000000" w:rsidDel="00000000" w:rsidP="00000000" w:rsidRDefault="00000000" w:rsidRPr="00000000" w14:paraId="00000013">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5) Outline due 4/18 at 11:59 pm</w:t>
      </w:r>
    </w:p>
    <w:p w:rsidR="00000000" w:rsidDel="00000000" w:rsidP="00000000" w:rsidRDefault="00000000" w:rsidRPr="00000000" w14:paraId="00000014">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5) Rough draft due 4/20  via Turnitin @ 11:59 pm</w:t>
      </w:r>
    </w:p>
    <w:p w:rsidR="00000000" w:rsidDel="00000000" w:rsidP="00000000" w:rsidRDefault="00000000" w:rsidRPr="00000000" w14:paraId="00000015">
      <w:pPr>
        <w:pageBreakBefore w:val="0"/>
        <w:rPr>
          <w:rFonts w:ascii="EB Garamond" w:cs="EB Garamond" w:eastAsia="EB Garamond" w:hAnsi="EB Garamond"/>
          <w:sz w:val="24"/>
          <w:szCs w:val="24"/>
        </w:rPr>
      </w:pPr>
      <w:r w:rsidDel="00000000" w:rsidR="00000000" w:rsidRPr="00000000">
        <w:rPr>
          <w:rFonts w:ascii="EB Garamond" w:cs="EB Garamond" w:eastAsia="EB Garamond" w:hAnsi="EB Garamond"/>
          <w:sz w:val="24"/>
          <w:szCs w:val="24"/>
          <w:rtl w:val="0"/>
        </w:rPr>
        <w:t xml:space="preserve">6) Final draft due 5/4 via Turnitin @ 11:59 pm</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