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DAE58" w14:textId="5FFCFD06" w:rsidR="00224C21" w:rsidRPr="00B25B30" w:rsidRDefault="003503A1" w:rsidP="003503A1">
      <w:pPr>
        <w:tabs>
          <w:tab w:val="left" w:pos="123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9A65FB" w:rsidRPr="005175A8" w14:paraId="6F8D2E7E" w14:textId="77777777" w:rsidTr="00015D36">
        <w:tc>
          <w:tcPr>
            <w:tcW w:w="14390" w:type="dxa"/>
            <w:gridSpan w:val="5"/>
          </w:tcPr>
          <w:p w14:paraId="41FD31A0" w14:textId="29659EA5" w:rsidR="00875D00" w:rsidRPr="005175A8" w:rsidRDefault="009A65FB" w:rsidP="00875D00">
            <w:pPr>
              <w:jc w:val="center"/>
              <w:rPr>
                <w:b/>
                <w:bCs/>
                <w:sz w:val="18"/>
                <w:szCs w:val="18"/>
              </w:rPr>
            </w:pPr>
            <w:r w:rsidRPr="005175A8">
              <w:rPr>
                <w:b/>
                <w:bCs/>
                <w:sz w:val="18"/>
                <w:szCs w:val="18"/>
              </w:rPr>
              <w:t xml:space="preserve">Assignment 2: </w:t>
            </w:r>
            <w:r w:rsidR="00875D00" w:rsidRPr="005175A8">
              <w:rPr>
                <w:b/>
                <w:bCs/>
                <w:sz w:val="18"/>
                <w:szCs w:val="18"/>
              </w:rPr>
              <w:t>Interview: College, Career, Significance?</w:t>
            </w:r>
          </w:p>
          <w:p w14:paraId="68A3D0C6" w14:textId="569C85A8" w:rsidR="009A65FB" w:rsidRPr="005175A8" w:rsidRDefault="00224C21" w:rsidP="00015D36">
            <w:pPr>
              <w:rPr>
                <w:sz w:val="18"/>
                <w:szCs w:val="18"/>
              </w:rPr>
            </w:pPr>
            <w:r w:rsidRPr="005175A8">
              <w:rPr>
                <w:sz w:val="18"/>
                <w:szCs w:val="18"/>
              </w:rPr>
              <w:t>Write up</w:t>
            </w:r>
            <w:r w:rsidR="00064002" w:rsidRPr="005175A8">
              <w:rPr>
                <w:sz w:val="18"/>
                <w:szCs w:val="18"/>
              </w:rPr>
              <w:t xml:space="preserve"> the results of</w:t>
            </w:r>
            <w:r w:rsidRPr="005175A8">
              <w:rPr>
                <w:sz w:val="18"/>
                <w:szCs w:val="18"/>
              </w:rPr>
              <w:t xml:space="preserve"> an interview with someone about their educational and professional journey, including their college experiences, how they identified their professional and civic trajectory, and what they would recommend to their younger self. </w:t>
            </w:r>
          </w:p>
        </w:tc>
      </w:tr>
      <w:tr w:rsidR="009A65FB" w:rsidRPr="005175A8" w14:paraId="2662EB75" w14:textId="77777777" w:rsidTr="00015D36">
        <w:tc>
          <w:tcPr>
            <w:tcW w:w="2878" w:type="dxa"/>
          </w:tcPr>
          <w:p w14:paraId="163D8D90" w14:textId="77777777" w:rsidR="009A65FB" w:rsidRPr="005175A8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526C9578" w14:textId="77777777" w:rsidR="009A65FB" w:rsidRPr="0083696E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83696E">
              <w:rPr>
                <w:b/>
                <w:bCs/>
                <w:sz w:val="18"/>
                <w:szCs w:val="18"/>
              </w:rPr>
              <w:t>4 – Exemplary</w:t>
            </w:r>
          </w:p>
        </w:tc>
        <w:tc>
          <w:tcPr>
            <w:tcW w:w="2878" w:type="dxa"/>
          </w:tcPr>
          <w:p w14:paraId="2AAEF35D" w14:textId="77777777" w:rsidR="009A65FB" w:rsidRPr="0083696E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83696E">
              <w:rPr>
                <w:b/>
                <w:bCs/>
                <w:sz w:val="18"/>
                <w:szCs w:val="18"/>
              </w:rPr>
              <w:t>3 – Accomplished</w:t>
            </w:r>
          </w:p>
        </w:tc>
        <w:tc>
          <w:tcPr>
            <w:tcW w:w="2878" w:type="dxa"/>
          </w:tcPr>
          <w:p w14:paraId="14BAF74D" w14:textId="77777777" w:rsidR="009A65FB" w:rsidRPr="0083696E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83696E">
              <w:rPr>
                <w:b/>
                <w:bCs/>
                <w:sz w:val="18"/>
                <w:szCs w:val="18"/>
              </w:rPr>
              <w:t>2 – Developing</w:t>
            </w:r>
          </w:p>
        </w:tc>
        <w:tc>
          <w:tcPr>
            <w:tcW w:w="2878" w:type="dxa"/>
          </w:tcPr>
          <w:p w14:paraId="63AE0782" w14:textId="77777777" w:rsidR="009A65FB" w:rsidRPr="0083696E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83696E">
              <w:rPr>
                <w:b/>
                <w:bCs/>
                <w:sz w:val="18"/>
                <w:szCs w:val="18"/>
              </w:rPr>
              <w:t>1 – Beginning</w:t>
            </w:r>
          </w:p>
        </w:tc>
      </w:tr>
      <w:tr w:rsidR="00FC42D4" w:rsidRPr="005175A8" w14:paraId="56007A1C" w14:textId="77777777" w:rsidTr="00FD13DE">
        <w:trPr>
          <w:trHeight w:val="980"/>
        </w:trPr>
        <w:tc>
          <w:tcPr>
            <w:tcW w:w="2878" w:type="dxa"/>
          </w:tcPr>
          <w:p w14:paraId="4E5DB933" w14:textId="5CA8757F" w:rsidR="00FC42D4" w:rsidRPr="005175A8" w:rsidRDefault="00FC42D4" w:rsidP="00FC42D4">
            <w:pPr>
              <w:rPr>
                <w:b/>
                <w:bCs/>
                <w:sz w:val="18"/>
                <w:szCs w:val="18"/>
              </w:rPr>
            </w:pPr>
            <w:r w:rsidRPr="005175A8">
              <w:rPr>
                <w:b/>
                <w:bCs/>
                <w:sz w:val="18"/>
                <w:szCs w:val="18"/>
              </w:rPr>
              <w:t>Articulates Key Points</w:t>
            </w:r>
          </w:p>
          <w:p w14:paraId="57F1A6C5" w14:textId="77777777" w:rsidR="00FC42D4" w:rsidRDefault="00FC42D4" w:rsidP="00FC42D4">
            <w:pPr>
              <w:ind w:left="339"/>
              <w:rPr>
                <w:i/>
                <w:iCs/>
                <w:sz w:val="18"/>
                <w:szCs w:val="18"/>
              </w:rPr>
            </w:pPr>
            <w:r w:rsidRPr="005175A8">
              <w:rPr>
                <w:i/>
                <w:iCs/>
                <w:sz w:val="18"/>
                <w:szCs w:val="18"/>
              </w:rPr>
              <w:t>Summarizes key and subordinate points from interview</w:t>
            </w:r>
          </w:p>
          <w:p w14:paraId="12EF946E" w14:textId="77777777" w:rsidR="005805E4" w:rsidRDefault="005805E4" w:rsidP="005805E4">
            <w:pPr>
              <w:rPr>
                <w:i/>
                <w:iCs/>
                <w:sz w:val="18"/>
                <w:szCs w:val="18"/>
              </w:rPr>
            </w:pPr>
          </w:p>
          <w:p w14:paraId="7460E699" w14:textId="661B1488" w:rsidR="005805E4" w:rsidRPr="005175A8" w:rsidRDefault="00D51932" w:rsidP="005805E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30%</w:t>
            </w:r>
          </w:p>
        </w:tc>
        <w:tc>
          <w:tcPr>
            <w:tcW w:w="2878" w:type="dxa"/>
          </w:tcPr>
          <w:p w14:paraId="54F84187" w14:textId="2B7FA689" w:rsidR="00FC42D4" w:rsidRDefault="00FC42D4" w:rsidP="00FC42D4">
            <w:pPr>
              <w:rPr>
                <w:sz w:val="18"/>
                <w:szCs w:val="18"/>
              </w:rPr>
            </w:pPr>
            <w:r w:rsidRPr="005175A8">
              <w:rPr>
                <w:sz w:val="18"/>
                <w:szCs w:val="18"/>
              </w:rPr>
              <w:t xml:space="preserve">Provides a well-rounded, </w:t>
            </w:r>
            <w:r w:rsidR="0090181C">
              <w:rPr>
                <w:sz w:val="18"/>
                <w:szCs w:val="18"/>
              </w:rPr>
              <w:t>three</w:t>
            </w:r>
            <w:r w:rsidRPr="005175A8">
              <w:rPr>
                <w:sz w:val="18"/>
                <w:szCs w:val="18"/>
              </w:rPr>
              <w:t>-dimensional view of the research subject as a person</w:t>
            </w:r>
            <w:r w:rsidR="00517057">
              <w:rPr>
                <w:sz w:val="18"/>
                <w:szCs w:val="18"/>
              </w:rPr>
              <w:t xml:space="preserve"> through</w:t>
            </w:r>
            <w:r w:rsidR="00691C89">
              <w:rPr>
                <w:sz w:val="18"/>
                <w:szCs w:val="18"/>
              </w:rPr>
              <w:t xml:space="preserve"> well-articulated</w:t>
            </w:r>
            <w:r w:rsidR="00517057">
              <w:rPr>
                <w:sz w:val="18"/>
                <w:szCs w:val="18"/>
              </w:rPr>
              <w:t xml:space="preserve"> summative points </w:t>
            </w:r>
            <w:r w:rsidR="00066993">
              <w:rPr>
                <w:sz w:val="18"/>
                <w:szCs w:val="18"/>
              </w:rPr>
              <w:t>of the interview</w:t>
            </w:r>
            <w:r w:rsidR="0014438E">
              <w:rPr>
                <w:sz w:val="18"/>
                <w:szCs w:val="18"/>
              </w:rPr>
              <w:t>; e</w:t>
            </w:r>
            <w:r w:rsidRPr="005175A8">
              <w:rPr>
                <w:sz w:val="18"/>
                <w:szCs w:val="18"/>
              </w:rPr>
              <w:t>mbraces the</w:t>
            </w:r>
            <w:r w:rsidR="00972101">
              <w:rPr>
                <w:sz w:val="18"/>
                <w:szCs w:val="18"/>
              </w:rPr>
              <w:t xml:space="preserve"> interviewee’s</w:t>
            </w:r>
            <w:r w:rsidRPr="005175A8">
              <w:rPr>
                <w:sz w:val="18"/>
                <w:szCs w:val="18"/>
              </w:rPr>
              <w:t xml:space="preserve"> complexity</w:t>
            </w:r>
            <w:r w:rsidR="00CE357E">
              <w:rPr>
                <w:sz w:val="18"/>
                <w:szCs w:val="18"/>
              </w:rPr>
              <w:t xml:space="preserve"> and represents them on their own terms</w:t>
            </w:r>
          </w:p>
          <w:p w14:paraId="447B82C1" w14:textId="7893B0F3" w:rsidR="00691C89" w:rsidRPr="005175A8" w:rsidRDefault="00691C89" w:rsidP="001C52BB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5153F3AA" w14:textId="12847C93" w:rsidR="00FC42D4" w:rsidRPr="005175A8" w:rsidRDefault="00691C89" w:rsidP="00FC4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a </w:t>
            </w:r>
            <w:r w:rsidR="0014438E">
              <w:rPr>
                <w:sz w:val="18"/>
                <w:szCs w:val="18"/>
              </w:rPr>
              <w:t>three-dimensional</w:t>
            </w:r>
            <w:r>
              <w:rPr>
                <w:sz w:val="18"/>
                <w:szCs w:val="18"/>
              </w:rPr>
              <w:t xml:space="preserve"> view of the research subject through </w:t>
            </w:r>
            <w:r w:rsidR="002E4282">
              <w:rPr>
                <w:sz w:val="18"/>
                <w:szCs w:val="18"/>
              </w:rPr>
              <w:t xml:space="preserve">multiple </w:t>
            </w:r>
            <w:r>
              <w:rPr>
                <w:sz w:val="18"/>
                <w:szCs w:val="18"/>
              </w:rPr>
              <w:t xml:space="preserve">summative points; </w:t>
            </w:r>
            <w:r w:rsidR="00972101">
              <w:rPr>
                <w:sz w:val="18"/>
                <w:szCs w:val="18"/>
              </w:rPr>
              <w:t>additional clarification</w:t>
            </w:r>
            <w:r w:rsidR="0014438E">
              <w:rPr>
                <w:sz w:val="18"/>
                <w:szCs w:val="18"/>
              </w:rPr>
              <w:t xml:space="preserve"> of key ideas would strengthen; </w:t>
            </w:r>
            <w:r w:rsidR="00FF33AC">
              <w:rPr>
                <w:sz w:val="18"/>
                <w:szCs w:val="18"/>
              </w:rPr>
              <w:t>recognizes interviewee’s complexity</w:t>
            </w:r>
            <w:r w:rsidR="00CF0E7A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1CB79A86" w14:textId="76203766" w:rsidR="00FC42D4" w:rsidRPr="005175A8" w:rsidRDefault="008A35C3" w:rsidP="00FC4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 of research subject is not yet complete</w:t>
            </w:r>
            <w:r w:rsidR="00084462">
              <w:rPr>
                <w:sz w:val="18"/>
                <w:szCs w:val="18"/>
              </w:rPr>
              <w:t xml:space="preserve"> or may be one- or two-</w:t>
            </w:r>
            <w:r w:rsidR="002E4282">
              <w:rPr>
                <w:sz w:val="18"/>
                <w:szCs w:val="18"/>
              </w:rPr>
              <w:t>dimensional</w:t>
            </w:r>
            <w:r w:rsidR="00084462">
              <w:rPr>
                <w:sz w:val="18"/>
                <w:szCs w:val="18"/>
              </w:rPr>
              <w:t xml:space="preserve"> with </w:t>
            </w:r>
            <w:r w:rsidR="002E4282">
              <w:rPr>
                <w:sz w:val="18"/>
                <w:szCs w:val="18"/>
              </w:rPr>
              <w:t>few</w:t>
            </w:r>
            <w:r w:rsidR="00084462">
              <w:rPr>
                <w:sz w:val="18"/>
                <w:szCs w:val="18"/>
              </w:rPr>
              <w:t xml:space="preserve"> summative points </w:t>
            </w:r>
            <w:r w:rsidR="009307D3">
              <w:rPr>
                <w:sz w:val="18"/>
                <w:szCs w:val="18"/>
              </w:rPr>
              <w:t>grounded in the interview</w:t>
            </w:r>
            <w:r w:rsidR="00084462">
              <w:rPr>
                <w:sz w:val="18"/>
                <w:szCs w:val="18"/>
              </w:rPr>
              <w:t xml:space="preserve">; </w:t>
            </w:r>
            <w:r w:rsidR="002E4282">
              <w:rPr>
                <w:sz w:val="18"/>
                <w:szCs w:val="18"/>
              </w:rPr>
              <w:t xml:space="preserve">interviewee’s </w:t>
            </w:r>
            <w:r w:rsidR="00084462">
              <w:rPr>
                <w:sz w:val="18"/>
                <w:szCs w:val="18"/>
              </w:rPr>
              <w:t>complexity may be implied</w:t>
            </w:r>
            <w:r w:rsidR="002E4282">
              <w:rPr>
                <w:sz w:val="18"/>
                <w:szCs w:val="18"/>
              </w:rPr>
              <w:t xml:space="preserve"> or hinted</w:t>
            </w:r>
            <w:r w:rsidR="00084462">
              <w:rPr>
                <w:sz w:val="18"/>
                <w:szCs w:val="18"/>
              </w:rPr>
              <w:t xml:space="preserve">, but </w:t>
            </w:r>
            <w:r w:rsidR="002E4282">
              <w:rPr>
                <w:sz w:val="18"/>
                <w:szCs w:val="18"/>
              </w:rPr>
              <w:t xml:space="preserve">is not yet represented </w:t>
            </w:r>
            <w:r w:rsidR="005208B9">
              <w:rPr>
                <w:sz w:val="18"/>
                <w:szCs w:val="18"/>
              </w:rPr>
              <w:t>or fully recognized</w:t>
            </w:r>
          </w:p>
        </w:tc>
        <w:tc>
          <w:tcPr>
            <w:tcW w:w="2878" w:type="dxa"/>
          </w:tcPr>
          <w:p w14:paraId="4AAFD162" w14:textId="20AD7700" w:rsidR="00FC42D4" w:rsidRPr="005175A8" w:rsidRDefault="002E4282" w:rsidP="00FC4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View of research subject is incomplete</w:t>
            </w:r>
            <w:r w:rsidR="00317F8A">
              <w:rPr>
                <w:sz w:val="18"/>
                <w:szCs w:val="18"/>
              </w:rPr>
              <w:t xml:space="preserve">, unidimensional, or may appear to be an oversimplification of </w:t>
            </w:r>
            <w:r w:rsidR="00115F2A">
              <w:rPr>
                <w:sz w:val="18"/>
                <w:szCs w:val="18"/>
              </w:rPr>
              <w:t xml:space="preserve">a </w:t>
            </w:r>
            <w:r w:rsidR="00317F8A">
              <w:rPr>
                <w:sz w:val="18"/>
                <w:szCs w:val="18"/>
              </w:rPr>
              <w:t xml:space="preserve">complex set of life experiences; </w:t>
            </w:r>
            <w:r w:rsidR="009307D3">
              <w:rPr>
                <w:sz w:val="18"/>
                <w:szCs w:val="18"/>
              </w:rPr>
              <w:t>summative points may be superficial, vague, or too general</w:t>
            </w:r>
          </w:p>
        </w:tc>
      </w:tr>
      <w:tr w:rsidR="00FC42D4" w:rsidRPr="005175A8" w14:paraId="1C669100" w14:textId="77777777" w:rsidTr="005175A8">
        <w:trPr>
          <w:trHeight w:val="1430"/>
        </w:trPr>
        <w:tc>
          <w:tcPr>
            <w:tcW w:w="2878" w:type="dxa"/>
          </w:tcPr>
          <w:p w14:paraId="1D80E396" w14:textId="04585BE5" w:rsidR="00FC42D4" w:rsidRPr="005175A8" w:rsidRDefault="00D753F4" w:rsidP="00FC42D4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Provides </w:t>
            </w:r>
            <w:r w:rsidR="00FC42D4" w:rsidRPr="005175A8">
              <w:rPr>
                <w:b/>
                <w:bCs/>
                <w:sz w:val="18"/>
                <w:szCs w:val="18"/>
              </w:rPr>
              <w:t xml:space="preserve">Details </w:t>
            </w:r>
            <w:r w:rsidR="00250121">
              <w:rPr>
                <w:b/>
                <w:bCs/>
                <w:sz w:val="18"/>
                <w:szCs w:val="18"/>
              </w:rPr>
              <w:t>and</w:t>
            </w:r>
            <w:r w:rsidR="00FC42D4" w:rsidRPr="005175A8">
              <w:rPr>
                <w:b/>
                <w:bCs/>
                <w:sz w:val="18"/>
                <w:szCs w:val="18"/>
              </w:rPr>
              <w:t xml:space="preserve"> </w:t>
            </w:r>
            <w:r w:rsidR="00426FBC">
              <w:rPr>
                <w:b/>
                <w:bCs/>
                <w:sz w:val="18"/>
                <w:szCs w:val="18"/>
              </w:rPr>
              <w:t xml:space="preserve">Illustrative </w:t>
            </w:r>
            <w:r w:rsidR="00FC42D4" w:rsidRPr="005175A8">
              <w:rPr>
                <w:b/>
                <w:bCs/>
                <w:sz w:val="18"/>
                <w:szCs w:val="18"/>
              </w:rPr>
              <w:t>Quotations</w:t>
            </w:r>
          </w:p>
          <w:p w14:paraId="7BD44FD4" w14:textId="77777777" w:rsidR="00FC42D4" w:rsidRDefault="00FC42D4" w:rsidP="00FC42D4">
            <w:pPr>
              <w:ind w:left="339"/>
              <w:rPr>
                <w:i/>
                <w:iCs/>
                <w:sz w:val="18"/>
                <w:szCs w:val="18"/>
              </w:rPr>
            </w:pPr>
            <w:r w:rsidRPr="005175A8">
              <w:rPr>
                <w:i/>
                <w:iCs/>
                <w:sz w:val="18"/>
                <w:szCs w:val="18"/>
              </w:rPr>
              <w:t>Provides direct quotations and details from interview to support points</w:t>
            </w:r>
          </w:p>
          <w:p w14:paraId="084591F9" w14:textId="77777777" w:rsidR="00D51932" w:rsidRDefault="00D51932" w:rsidP="00D51932">
            <w:pPr>
              <w:rPr>
                <w:i/>
                <w:iCs/>
                <w:sz w:val="18"/>
                <w:szCs w:val="18"/>
              </w:rPr>
            </w:pPr>
          </w:p>
          <w:p w14:paraId="6B597862" w14:textId="523F0FA0" w:rsidR="00D51932" w:rsidRPr="005175A8" w:rsidRDefault="00D51932" w:rsidP="00D5193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30%</w:t>
            </w:r>
          </w:p>
        </w:tc>
        <w:tc>
          <w:tcPr>
            <w:tcW w:w="2878" w:type="dxa"/>
          </w:tcPr>
          <w:p w14:paraId="4B23DB50" w14:textId="137F5E55" w:rsidR="002A68DB" w:rsidRDefault="002A68DB" w:rsidP="00FC4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</w:t>
            </w:r>
            <w:r w:rsidR="004D237E">
              <w:rPr>
                <w:sz w:val="18"/>
                <w:szCs w:val="18"/>
              </w:rPr>
              <w:t>extensive</w:t>
            </w:r>
            <w:r w:rsidR="00C67BA3">
              <w:rPr>
                <w:sz w:val="18"/>
                <w:szCs w:val="18"/>
              </w:rPr>
              <w:t xml:space="preserve"> and well-selected</w:t>
            </w:r>
            <w:r w:rsidR="004D237E">
              <w:rPr>
                <w:sz w:val="18"/>
                <w:szCs w:val="18"/>
              </w:rPr>
              <w:t xml:space="preserve"> </w:t>
            </w:r>
            <w:r w:rsidRPr="005175A8">
              <w:rPr>
                <w:sz w:val="18"/>
                <w:szCs w:val="18"/>
              </w:rPr>
              <w:t xml:space="preserve">illustrative </w:t>
            </w:r>
            <w:r w:rsidR="006253F6" w:rsidRPr="005175A8">
              <w:rPr>
                <w:sz w:val="18"/>
                <w:szCs w:val="18"/>
              </w:rPr>
              <w:t xml:space="preserve">quotations </w:t>
            </w:r>
            <w:r w:rsidR="006253F6">
              <w:rPr>
                <w:sz w:val="18"/>
                <w:szCs w:val="18"/>
              </w:rPr>
              <w:t>and</w:t>
            </w:r>
            <w:r w:rsidR="004D237E">
              <w:rPr>
                <w:sz w:val="18"/>
                <w:szCs w:val="18"/>
              </w:rPr>
              <w:t xml:space="preserve"> explanations </w:t>
            </w:r>
            <w:r w:rsidRPr="005175A8">
              <w:rPr>
                <w:sz w:val="18"/>
                <w:szCs w:val="18"/>
              </w:rPr>
              <w:t>that illuminate the interviewee and summative points</w:t>
            </w:r>
            <w:r>
              <w:rPr>
                <w:sz w:val="18"/>
                <w:szCs w:val="18"/>
              </w:rPr>
              <w:t xml:space="preserve"> from the interview</w:t>
            </w:r>
            <w:r w:rsidRPr="005175A8">
              <w:rPr>
                <w:sz w:val="18"/>
                <w:szCs w:val="18"/>
              </w:rPr>
              <w:t xml:space="preserve">; </w:t>
            </w:r>
            <w:r>
              <w:rPr>
                <w:sz w:val="18"/>
                <w:szCs w:val="18"/>
              </w:rPr>
              <w:t>employs</w:t>
            </w:r>
            <w:r w:rsidRPr="005175A8">
              <w:rPr>
                <w:sz w:val="18"/>
                <w:szCs w:val="18"/>
              </w:rPr>
              <w:t xml:space="preserve"> paraphrasing when appropriate</w:t>
            </w:r>
          </w:p>
          <w:p w14:paraId="626C3D3D" w14:textId="1DE350B7" w:rsidR="0035774F" w:rsidRPr="005175A8" w:rsidRDefault="0035774F" w:rsidP="005208B9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687FC217" w14:textId="77777777" w:rsidR="00FC42D4" w:rsidRDefault="00AC5517" w:rsidP="00FC4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</w:t>
            </w:r>
            <w:r w:rsidR="00C67BA3">
              <w:rPr>
                <w:sz w:val="18"/>
                <w:szCs w:val="18"/>
              </w:rPr>
              <w:t xml:space="preserve">numerous, well-selected </w:t>
            </w:r>
            <w:r>
              <w:rPr>
                <w:sz w:val="18"/>
                <w:szCs w:val="18"/>
              </w:rPr>
              <w:t xml:space="preserve">illustrative quotations </w:t>
            </w:r>
            <w:r w:rsidR="006B0EC8">
              <w:rPr>
                <w:sz w:val="18"/>
                <w:szCs w:val="18"/>
              </w:rPr>
              <w:t xml:space="preserve">and explanations </w:t>
            </w:r>
            <w:r>
              <w:rPr>
                <w:sz w:val="18"/>
                <w:szCs w:val="18"/>
              </w:rPr>
              <w:t>that illuminate the interviewee and summative points of the interview; additional details</w:t>
            </w:r>
            <w:r w:rsidR="003A4D6F">
              <w:rPr>
                <w:sz w:val="18"/>
                <w:szCs w:val="18"/>
              </w:rPr>
              <w:t xml:space="preserve">, paraphrasing, or explanation </w:t>
            </w:r>
            <w:r w:rsidR="006253F6">
              <w:rPr>
                <w:sz w:val="18"/>
                <w:szCs w:val="18"/>
              </w:rPr>
              <w:t>would improve</w:t>
            </w:r>
            <w:r w:rsidR="001C57F2">
              <w:rPr>
                <w:sz w:val="18"/>
                <w:szCs w:val="18"/>
              </w:rPr>
              <w:t xml:space="preserve"> or clarify or add complexity</w:t>
            </w:r>
          </w:p>
          <w:p w14:paraId="6D762DE4" w14:textId="6F2E910E" w:rsidR="00130A47" w:rsidRPr="005175A8" w:rsidRDefault="00130A47" w:rsidP="00FC42D4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69CB70C6" w14:textId="77A23632" w:rsidR="00FC42D4" w:rsidRPr="005175A8" w:rsidRDefault="006B0EC8" w:rsidP="00FC4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</w:t>
            </w:r>
            <w:r w:rsidR="00351FEF">
              <w:rPr>
                <w:sz w:val="18"/>
                <w:szCs w:val="18"/>
              </w:rPr>
              <w:t xml:space="preserve">selective </w:t>
            </w:r>
            <w:r w:rsidR="006253F6">
              <w:rPr>
                <w:sz w:val="18"/>
                <w:szCs w:val="18"/>
              </w:rPr>
              <w:t>quotations and</w:t>
            </w:r>
            <w:r w:rsidR="00C67BA3">
              <w:rPr>
                <w:sz w:val="18"/>
                <w:szCs w:val="18"/>
              </w:rPr>
              <w:t xml:space="preserve"> explanation</w:t>
            </w:r>
            <w:r w:rsidR="00DE258A">
              <w:rPr>
                <w:sz w:val="18"/>
                <w:szCs w:val="18"/>
              </w:rPr>
              <w:t xml:space="preserve"> in support of </w:t>
            </w:r>
            <w:r w:rsidR="00351FEF">
              <w:rPr>
                <w:sz w:val="18"/>
                <w:szCs w:val="18"/>
              </w:rPr>
              <w:t xml:space="preserve">the </w:t>
            </w:r>
            <w:r w:rsidR="00C67BA3">
              <w:rPr>
                <w:sz w:val="18"/>
                <w:szCs w:val="18"/>
              </w:rPr>
              <w:t xml:space="preserve">summative points; </w:t>
            </w:r>
            <w:r w:rsidR="000F3D49">
              <w:rPr>
                <w:sz w:val="18"/>
                <w:szCs w:val="18"/>
              </w:rPr>
              <w:t xml:space="preserve">relationship appears logical, but </w:t>
            </w:r>
            <w:r w:rsidR="006253F6">
              <w:rPr>
                <w:sz w:val="18"/>
                <w:szCs w:val="18"/>
              </w:rPr>
              <w:t xml:space="preserve">additional </w:t>
            </w:r>
            <w:r w:rsidR="00351FEF">
              <w:rPr>
                <w:sz w:val="18"/>
                <w:szCs w:val="18"/>
              </w:rPr>
              <w:t xml:space="preserve">illustrative </w:t>
            </w:r>
            <w:r w:rsidR="006253F6">
              <w:rPr>
                <w:sz w:val="18"/>
                <w:szCs w:val="18"/>
              </w:rPr>
              <w:t>quotations or explanation would strengthen</w:t>
            </w:r>
          </w:p>
        </w:tc>
        <w:tc>
          <w:tcPr>
            <w:tcW w:w="2878" w:type="dxa"/>
          </w:tcPr>
          <w:p w14:paraId="3CB239F7" w14:textId="7B8BAEDA" w:rsidR="00FC42D4" w:rsidRPr="005175A8" w:rsidRDefault="003A4D6F" w:rsidP="00FC42D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few quotations or limited elaboration </w:t>
            </w:r>
            <w:r w:rsidR="00803872">
              <w:rPr>
                <w:sz w:val="18"/>
                <w:szCs w:val="18"/>
              </w:rPr>
              <w:t xml:space="preserve">that illuminate interviewee and support summative points; details and quotations provided may appear to contradict summative points </w:t>
            </w:r>
          </w:p>
        </w:tc>
      </w:tr>
      <w:tr w:rsidR="008A3E19" w:rsidRPr="005175A8" w14:paraId="2E143543" w14:textId="77777777" w:rsidTr="00484081">
        <w:trPr>
          <w:trHeight w:val="1781"/>
        </w:trPr>
        <w:tc>
          <w:tcPr>
            <w:tcW w:w="2878" w:type="dxa"/>
          </w:tcPr>
          <w:p w14:paraId="65645245" w14:textId="57F2AC88" w:rsidR="008A3E19" w:rsidRPr="005175A8" w:rsidRDefault="008A3E19" w:rsidP="008A3E19">
            <w:pPr>
              <w:rPr>
                <w:b/>
                <w:bCs/>
                <w:sz w:val="18"/>
                <w:szCs w:val="18"/>
              </w:rPr>
            </w:pPr>
            <w:r w:rsidRPr="005175A8">
              <w:rPr>
                <w:b/>
                <w:bCs/>
                <w:sz w:val="18"/>
                <w:szCs w:val="18"/>
              </w:rPr>
              <w:t>Speaks to Relevant Issues</w:t>
            </w:r>
          </w:p>
          <w:p w14:paraId="40944DC0" w14:textId="77777777" w:rsidR="008A3E19" w:rsidRDefault="008A3E19" w:rsidP="008A3E19">
            <w:pPr>
              <w:ind w:left="339"/>
              <w:rPr>
                <w:i/>
                <w:iCs/>
                <w:sz w:val="18"/>
                <w:szCs w:val="18"/>
              </w:rPr>
            </w:pPr>
            <w:r w:rsidRPr="005175A8">
              <w:rPr>
                <w:i/>
                <w:iCs/>
                <w:sz w:val="18"/>
                <w:szCs w:val="18"/>
              </w:rPr>
              <w:t>Contributes to reader’s understanding of relevant issues (e.g., college, mentoring, career and living a life of significance)</w:t>
            </w:r>
          </w:p>
          <w:p w14:paraId="48BE8634" w14:textId="77777777" w:rsidR="00D51932" w:rsidRDefault="00D51932" w:rsidP="00D51932">
            <w:pPr>
              <w:rPr>
                <w:i/>
                <w:iCs/>
                <w:sz w:val="18"/>
                <w:szCs w:val="18"/>
              </w:rPr>
            </w:pPr>
          </w:p>
          <w:p w14:paraId="25D55F6E" w14:textId="70489A02" w:rsidR="00D51932" w:rsidRPr="005175A8" w:rsidRDefault="00D51932" w:rsidP="00D51932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25%</w:t>
            </w:r>
          </w:p>
        </w:tc>
        <w:tc>
          <w:tcPr>
            <w:tcW w:w="2878" w:type="dxa"/>
          </w:tcPr>
          <w:p w14:paraId="4024FBE1" w14:textId="03CA0A63" w:rsidR="008A3E19" w:rsidRDefault="008A3E19" w:rsidP="008A3E19">
            <w:pPr>
              <w:rPr>
                <w:sz w:val="18"/>
                <w:szCs w:val="18"/>
              </w:rPr>
            </w:pPr>
            <w:r w:rsidRPr="005175A8">
              <w:rPr>
                <w:sz w:val="18"/>
                <w:szCs w:val="18"/>
              </w:rPr>
              <w:t>Enhances the reader’s understanding</w:t>
            </w:r>
            <w:r w:rsidR="00805B1F">
              <w:rPr>
                <w:sz w:val="18"/>
                <w:szCs w:val="18"/>
              </w:rPr>
              <w:t xml:space="preserve"> of life of </w:t>
            </w:r>
            <w:r w:rsidR="005E33C5">
              <w:rPr>
                <w:sz w:val="18"/>
                <w:szCs w:val="18"/>
              </w:rPr>
              <w:t>significance</w:t>
            </w:r>
            <w:r w:rsidRPr="005175A8">
              <w:rPr>
                <w:sz w:val="18"/>
                <w:szCs w:val="18"/>
              </w:rPr>
              <w:t xml:space="preserve"> and draws connections </w:t>
            </w:r>
            <w:r>
              <w:rPr>
                <w:sz w:val="18"/>
                <w:szCs w:val="18"/>
              </w:rPr>
              <w:t>to</w:t>
            </w:r>
            <w:r w:rsidRPr="005175A8">
              <w:rPr>
                <w:sz w:val="18"/>
                <w:szCs w:val="18"/>
              </w:rPr>
              <w:t xml:space="preserve"> relevant issues </w:t>
            </w:r>
            <w:r>
              <w:rPr>
                <w:sz w:val="18"/>
                <w:szCs w:val="18"/>
              </w:rPr>
              <w:t>and/</w:t>
            </w:r>
            <w:r w:rsidRPr="005175A8">
              <w:rPr>
                <w:sz w:val="18"/>
                <w:szCs w:val="18"/>
              </w:rPr>
              <w:t>or phases of the subject’s life; positions the interview in a larger conversation regarding a life of significance.</w:t>
            </w:r>
          </w:p>
          <w:p w14:paraId="05BABBCE" w14:textId="1697611F" w:rsidR="008A3E19" w:rsidRPr="005175A8" w:rsidRDefault="008A3E19" w:rsidP="000F3D49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742CA122" w14:textId="77777777" w:rsidR="008A3E19" w:rsidRDefault="00D222AE" w:rsidP="008A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Enhances reader’s understanding </w:t>
            </w:r>
            <w:r w:rsidR="00805B1F">
              <w:rPr>
                <w:sz w:val="18"/>
                <w:szCs w:val="18"/>
              </w:rPr>
              <w:t xml:space="preserve">of life of significance </w:t>
            </w:r>
            <w:r>
              <w:rPr>
                <w:sz w:val="18"/>
                <w:szCs w:val="18"/>
              </w:rPr>
              <w:t xml:space="preserve">and draws connection to relevant issues or/or phases of the subject’s life; </w:t>
            </w:r>
            <w:r w:rsidR="004A37B2">
              <w:rPr>
                <w:sz w:val="18"/>
                <w:szCs w:val="18"/>
              </w:rPr>
              <w:t>may not</w:t>
            </w:r>
            <w:r>
              <w:rPr>
                <w:sz w:val="18"/>
                <w:szCs w:val="18"/>
              </w:rPr>
              <w:t xml:space="preserve"> yet</w:t>
            </w:r>
            <w:r w:rsidR="008A3E19" w:rsidRPr="008A3E19">
              <w:rPr>
                <w:sz w:val="18"/>
                <w:szCs w:val="18"/>
              </w:rPr>
              <w:t xml:space="preserve"> position</w:t>
            </w:r>
            <w:r>
              <w:rPr>
                <w:sz w:val="18"/>
                <w:szCs w:val="18"/>
              </w:rPr>
              <w:t xml:space="preserve"> the</w:t>
            </w:r>
            <w:r w:rsidR="008A3E19" w:rsidRPr="008A3E19">
              <w:rPr>
                <w:sz w:val="18"/>
                <w:szCs w:val="18"/>
              </w:rPr>
              <w:t xml:space="preserve"> interview </w:t>
            </w:r>
            <w:r w:rsidR="004A37B2">
              <w:rPr>
                <w:sz w:val="18"/>
                <w:szCs w:val="18"/>
              </w:rPr>
              <w:t>in context of conversation</w:t>
            </w:r>
            <w:r w:rsidR="005805E4">
              <w:rPr>
                <w:sz w:val="18"/>
                <w:szCs w:val="18"/>
              </w:rPr>
              <w:t>; relevance</w:t>
            </w:r>
            <w:r w:rsidR="004A37B2">
              <w:rPr>
                <w:sz w:val="18"/>
                <w:szCs w:val="18"/>
              </w:rPr>
              <w:t xml:space="preserve"> to larger conversation</w:t>
            </w:r>
            <w:r w:rsidR="005805E4">
              <w:rPr>
                <w:sz w:val="18"/>
                <w:szCs w:val="18"/>
              </w:rPr>
              <w:t xml:space="preserve"> may be more hinted or implied</w:t>
            </w:r>
            <w:r w:rsidR="004A37B2">
              <w:rPr>
                <w:sz w:val="18"/>
                <w:szCs w:val="18"/>
              </w:rPr>
              <w:t xml:space="preserve"> than stated</w:t>
            </w:r>
            <w:r w:rsidR="005805E4">
              <w:rPr>
                <w:sz w:val="18"/>
                <w:szCs w:val="18"/>
              </w:rPr>
              <w:t xml:space="preserve"> </w:t>
            </w:r>
          </w:p>
          <w:p w14:paraId="67C39431" w14:textId="7CF5939B" w:rsidR="00130A47" w:rsidRPr="005175A8" w:rsidRDefault="00130A47" w:rsidP="008A3E19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55190B25" w14:textId="1B19D27F" w:rsidR="008A3E19" w:rsidRPr="005175A8" w:rsidRDefault="005E33C5" w:rsidP="008A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Reader’s familiar with discussions about life of significance will likely see connections between </w:t>
            </w:r>
            <w:r w:rsidR="004A37B2">
              <w:rPr>
                <w:sz w:val="18"/>
                <w:szCs w:val="18"/>
              </w:rPr>
              <w:t xml:space="preserve">phases of </w:t>
            </w:r>
            <w:r w:rsidR="004F798C">
              <w:rPr>
                <w:sz w:val="18"/>
                <w:szCs w:val="18"/>
              </w:rPr>
              <w:t>subject’s life</w:t>
            </w:r>
            <w:r>
              <w:rPr>
                <w:sz w:val="18"/>
                <w:szCs w:val="18"/>
              </w:rPr>
              <w:t xml:space="preserve"> and larger issues</w:t>
            </w:r>
            <w:r w:rsidR="004F798C">
              <w:rPr>
                <w:sz w:val="18"/>
                <w:szCs w:val="18"/>
              </w:rPr>
              <w:t xml:space="preserve">, but connections are not made explicit; </w:t>
            </w:r>
            <w:r>
              <w:rPr>
                <w:sz w:val="18"/>
                <w:szCs w:val="18"/>
              </w:rPr>
              <w:t>connection to life of significance or position in larger conversation has not yet been made fully explicit</w:t>
            </w:r>
          </w:p>
        </w:tc>
        <w:tc>
          <w:tcPr>
            <w:tcW w:w="2878" w:type="dxa"/>
          </w:tcPr>
          <w:p w14:paraId="3CCD6122" w14:textId="250960D9" w:rsidR="008A3E19" w:rsidRPr="005175A8" w:rsidRDefault="005E33C5" w:rsidP="008A3E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Readers may struggle to draw connection between essay and </w:t>
            </w:r>
            <w:r w:rsidR="00D765B7">
              <w:rPr>
                <w:sz w:val="18"/>
                <w:szCs w:val="18"/>
              </w:rPr>
              <w:t xml:space="preserve">relevant issues/phases and the </w:t>
            </w:r>
            <w:r>
              <w:rPr>
                <w:sz w:val="18"/>
                <w:szCs w:val="18"/>
              </w:rPr>
              <w:t>larger conversation about life of significance</w:t>
            </w:r>
          </w:p>
        </w:tc>
      </w:tr>
      <w:tr w:rsidR="001B4236" w:rsidRPr="005175A8" w14:paraId="16726C04" w14:textId="77777777" w:rsidTr="00484081">
        <w:trPr>
          <w:trHeight w:val="1781"/>
        </w:trPr>
        <w:tc>
          <w:tcPr>
            <w:tcW w:w="2878" w:type="dxa"/>
          </w:tcPr>
          <w:p w14:paraId="487B8A18" w14:textId="64E90D7F" w:rsidR="001B4236" w:rsidRPr="005175A8" w:rsidRDefault="001B4236" w:rsidP="001B4236">
            <w:pPr>
              <w:rPr>
                <w:b/>
                <w:bCs/>
                <w:sz w:val="18"/>
                <w:szCs w:val="18"/>
              </w:rPr>
            </w:pPr>
            <w:r w:rsidRPr="005175A8">
              <w:rPr>
                <w:b/>
                <w:bCs/>
                <w:sz w:val="18"/>
                <w:szCs w:val="18"/>
              </w:rPr>
              <w:t xml:space="preserve">Meets Format </w:t>
            </w:r>
            <w:r>
              <w:rPr>
                <w:b/>
                <w:bCs/>
                <w:sz w:val="18"/>
                <w:szCs w:val="18"/>
              </w:rPr>
              <w:t>and</w:t>
            </w:r>
            <w:r w:rsidRPr="005175A8">
              <w:rPr>
                <w:b/>
                <w:bCs/>
                <w:sz w:val="18"/>
                <w:szCs w:val="18"/>
              </w:rPr>
              <w:t xml:space="preserve"> Style Demands</w:t>
            </w:r>
          </w:p>
          <w:p w14:paraId="466DA125" w14:textId="77777777" w:rsidR="001B4236" w:rsidRPr="005175A8" w:rsidRDefault="001B4236" w:rsidP="001B4236">
            <w:pPr>
              <w:ind w:left="330"/>
              <w:rPr>
                <w:i/>
                <w:iCs/>
                <w:sz w:val="18"/>
                <w:szCs w:val="18"/>
              </w:rPr>
            </w:pPr>
            <w:r w:rsidRPr="005175A8">
              <w:rPr>
                <w:i/>
                <w:iCs/>
                <w:sz w:val="18"/>
                <w:szCs w:val="18"/>
              </w:rPr>
              <w:t>Meets audience expectations for formatting, punctuation, grammar, and other stylistic elements</w:t>
            </w:r>
          </w:p>
          <w:p w14:paraId="76CBEDE4" w14:textId="77777777" w:rsidR="001B4236" w:rsidRPr="005175A8" w:rsidRDefault="001B4236" w:rsidP="001B4236">
            <w:pPr>
              <w:ind w:left="330"/>
              <w:rPr>
                <w:i/>
                <w:iCs/>
                <w:sz w:val="18"/>
                <w:szCs w:val="18"/>
              </w:rPr>
            </w:pPr>
          </w:p>
          <w:p w14:paraId="587810FD" w14:textId="087241C9" w:rsidR="001B4236" w:rsidRPr="005175A8" w:rsidRDefault="001B4236" w:rsidP="001B4236">
            <w:pPr>
              <w:rPr>
                <w:sz w:val="18"/>
                <w:szCs w:val="18"/>
              </w:rPr>
            </w:pPr>
            <w:r w:rsidRPr="005175A8">
              <w:rPr>
                <w:i/>
                <w:iCs/>
                <w:sz w:val="18"/>
                <w:szCs w:val="18"/>
              </w:rPr>
              <w:t>15%</w:t>
            </w:r>
          </w:p>
        </w:tc>
        <w:tc>
          <w:tcPr>
            <w:tcW w:w="2878" w:type="dxa"/>
          </w:tcPr>
          <w:p w14:paraId="40DF4E8A" w14:textId="77777777" w:rsidR="001B4236" w:rsidRPr="005D7AA2" w:rsidRDefault="001B4236" w:rsidP="001B4236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 xml:space="preserve">Overall organization is clear, with </w:t>
            </w:r>
            <w:r>
              <w:rPr>
                <w:sz w:val="18"/>
                <w:szCs w:val="18"/>
              </w:rPr>
              <w:t>well-placed paragraphs and sections</w:t>
            </w:r>
            <w:r w:rsidRPr="005D7AA2">
              <w:rPr>
                <w:sz w:val="18"/>
                <w:szCs w:val="18"/>
              </w:rPr>
              <w:t>; sentence-level language is essentially error free, requiring little additional proofreading; citations and quotations are consistent and appropriately integrated for the genre; language and style may be particularly effective</w:t>
            </w:r>
          </w:p>
          <w:p w14:paraId="11309F71" w14:textId="5DD039A5" w:rsidR="001B4236" w:rsidRPr="005175A8" w:rsidRDefault="001B4236" w:rsidP="001B42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51D4E3F7" w14:textId="77777777" w:rsidR="001B4236" w:rsidRPr="005D7AA2" w:rsidRDefault="001B4236" w:rsidP="001B4236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 xml:space="preserve">Overall organization may be </w:t>
            </w:r>
            <w:r>
              <w:rPr>
                <w:sz w:val="18"/>
                <w:szCs w:val="18"/>
              </w:rPr>
              <w:t>clear</w:t>
            </w:r>
            <w:r w:rsidRPr="005D7AA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even if </w:t>
            </w:r>
            <w:r w:rsidRPr="005D7AA2">
              <w:rPr>
                <w:sz w:val="18"/>
                <w:szCs w:val="18"/>
              </w:rPr>
              <w:t xml:space="preserve">some paragraphs </w:t>
            </w:r>
            <w:r>
              <w:rPr>
                <w:sz w:val="18"/>
                <w:szCs w:val="18"/>
              </w:rPr>
              <w:t>or sections appear</w:t>
            </w:r>
            <w:r w:rsidRPr="005D7AA2">
              <w:rPr>
                <w:sz w:val="18"/>
                <w:szCs w:val="18"/>
              </w:rPr>
              <w:t xml:space="preserve"> out of place; sentence-level language is generally error free; citations and quotations are consistent and appropriately integrated for the genre</w:t>
            </w:r>
          </w:p>
          <w:p w14:paraId="6F3A60C8" w14:textId="77777777" w:rsidR="001B4236" w:rsidRPr="005D7AA2" w:rsidRDefault="001B4236" w:rsidP="001B4236">
            <w:pPr>
              <w:rPr>
                <w:sz w:val="18"/>
                <w:szCs w:val="18"/>
              </w:rPr>
            </w:pPr>
          </w:p>
          <w:p w14:paraId="11616A40" w14:textId="77777777" w:rsidR="001B4236" w:rsidRPr="005175A8" w:rsidRDefault="001B4236" w:rsidP="001B42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6135D591" w14:textId="64D429C2" w:rsidR="001B4236" w:rsidRPr="005175A8" w:rsidRDefault="001B4236" w:rsidP="001B4236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Overall organization may be appropriate, but not clearly signaled</w:t>
            </w:r>
            <w:r>
              <w:rPr>
                <w:sz w:val="18"/>
                <w:szCs w:val="18"/>
              </w:rPr>
              <w:t xml:space="preserve"> or </w:t>
            </w:r>
            <w:r w:rsidRPr="005D7AA2">
              <w:rPr>
                <w:sz w:val="18"/>
                <w:szCs w:val="18"/>
              </w:rPr>
              <w:t xml:space="preserve">may rely on an organization inappropriate for the main argument; sentence-level language </w:t>
            </w:r>
            <w:r>
              <w:rPr>
                <w:sz w:val="18"/>
                <w:szCs w:val="18"/>
              </w:rPr>
              <w:t>includes</w:t>
            </w:r>
            <w:r w:rsidRPr="005D7AA2">
              <w:rPr>
                <w:sz w:val="18"/>
                <w:szCs w:val="18"/>
              </w:rPr>
              <w:t xml:space="preserve"> some errors </w:t>
            </w:r>
            <w:r>
              <w:rPr>
                <w:sz w:val="18"/>
                <w:szCs w:val="18"/>
              </w:rPr>
              <w:t>that</w:t>
            </w:r>
            <w:r w:rsidRPr="005D7AA2">
              <w:rPr>
                <w:sz w:val="18"/>
                <w:szCs w:val="18"/>
              </w:rPr>
              <w:t xml:space="preserve"> distract; citations and quotations </w:t>
            </w:r>
            <w:r>
              <w:rPr>
                <w:sz w:val="18"/>
                <w:szCs w:val="18"/>
              </w:rPr>
              <w:t>may</w:t>
            </w:r>
            <w:r w:rsidRPr="005D7AA2">
              <w:rPr>
                <w:sz w:val="18"/>
                <w:szCs w:val="18"/>
              </w:rPr>
              <w:t xml:space="preserve"> not </w:t>
            </w:r>
            <w:r>
              <w:rPr>
                <w:sz w:val="18"/>
                <w:szCs w:val="18"/>
              </w:rPr>
              <w:t xml:space="preserve">be </w:t>
            </w:r>
            <w:r w:rsidRPr="005D7AA2">
              <w:rPr>
                <w:sz w:val="18"/>
                <w:szCs w:val="18"/>
              </w:rPr>
              <w:t>always complete or consistent and may not always be appropriately integrated for the genre</w:t>
            </w:r>
          </w:p>
        </w:tc>
        <w:tc>
          <w:tcPr>
            <w:tcW w:w="2878" w:type="dxa"/>
          </w:tcPr>
          <w:p w14:paraId="694EFDFB" w14:textId="18E9A2EF" w:rsidR="001B4236" w:rsidRPr="005175A8" w:rsidRDefault="001B4236" w:rsidP="001B4236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Organization may hinder reader comprehension or appear confusing; sentence-level errors and integration of citations distract from meaning; essay has not yet been proofread or prepared for readers</w:t>
            </w:r>
          </w:p>
        </w:tc>
      </w:tr>
    </w:tbl>
    <w:p w14:paraId="3107521C" w14:textId="112490F2" w:rsidR="009A65FB" w:rsidRPr="00B25B30" w:rsidRDefault="009A65FB" w:rsidP="002F22EB">
      <w:pPr>
        <w:rPr>
          <w:sz w:val="24"/>
          <w:szCs w:val="24"/>
        </w:rPr>
      </w:pPr>
    </w:p>
    <w:sectPr w:rsidR="009A65FB" w:rsidRPr="00B25B30" w:rsidSect="00656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F395AF" w14:textId="77777777" w:rsidR="00A40C0A" w:rsidRDefault="00A40C0A" w:rsidP="00D2302D">
      <w:pPr>
        <w:spacing w:line="240" w:lineRule="auto"/>
      </w:pPr>
      <w:r>
        <w:separator/>
      </w:r>
    </w:p>
  </w:endnote>
  <w:endnote w:type="continuationSeparator" w:id="0">
    <w:p w14:paraId="2333F145" w14:textId="77777777" w:rsidR="00A40C0A" w:rsidRDefault="00A40C0A" w:rsidP="00D23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3D6B" w14:textId="77777777" w:rsidR="002634BF" w:rsidRDefault="0026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606B" w14:textId="005A0270" w:rsidR="00D2302D" w:rsidRPr="00D2302D" w:rsidRDefault="0091742F" w:rsidP="00D2302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Us</w:t>
    </w:r>
    <w:r w:rsidR="003503A1">
      <w:rPr>
        <w:sz w:val="16"/>
        <w:szCs w:val="16"/>
      </w:rPr>
      <w:t>e</w:t>
    </w:r>
    <w:r>
      <w:rPr>
        <w:sz w:val="16"/>
        <w:szCs w:val="16"/>
      </w:rPr>
      <w:t xml:space="preserve">: </w:t>
    </w:r>
    <w:r w:rsidR="00790BCA">
      <w:rPr>
        <w:sz w:val="16"/>
        <w:szCs w:val="16"/>
      </w:rPr>
      <w:t xml:space="preserve">Fall 2022, </w:t>
    </w:r>
    <w:r w:rsidR="00565D32">
      <w:rPr>
        <w:sz w:val="16"/>
        <w:szCs w:val="16"/>
      </w:rPr>
      <w:t>IDS 142 Pilo</w:t>
    </w:r>
    <w:r w:rsidR="00790BCA">
      <w:rPr>
        <w:sz w:val="16"/>
        <w:szCs w:val="16"/>
      </w:rPr>
      <w:t>t Rubric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2BC7" w14:textId="77777777" w:rsidR="002634BF" w:rsidRDefault="0026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E35D9" w14:textId="77777777" w:rsidR="00A40C0A" w:rsidRDefault="00A40C0A" w:rsidP="00D2302D">
      <w:pPr>
        <w:spacing w:line="240" w:lineRule="auto"/>
      </w:pPr>
      <w:r>
        <w:separator/>
      </w:r>
    </w:p>
  </w:footnote>
  <w:footnote w:type="continuationSeparator" w:id="0">
    <w:p w14:paraId="65A570D3" w14:textId="77777777" w:rsidR="00A40C0A" w:rsidRDefault="00A40C0A" w:rsidP="00D230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C169" w14:textId="29221466" w:rsidR="002634BF" w:rsidRDefault="0026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BEC2" w14:textId="2EE3B10E" w:rsidR="002634BF" w:rsidRDefault="0026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51D1" w14:textId="0CC313CF" w:rsidR="002634BF" w:rsidRDefault="0026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A73"/>
    <w:multiLevelType w:val="hybridMultilevel"/>
    <w:tmpl w:val="AB100E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7412C7"/>
    <w:multiLevelType w:val="hybridMultilevel"/>
    <w:tmpl w:val="5DC854F0"/>
    <w:lvl w:ilvl="0" w:tplc="2FD09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56EA0"/>
    <w:multiLevelType w:val="hybridMultilevel"/>
    <w:tmpl w:val="65CC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634FE"/>
    <w:multiLevelType w:val="hybridMultilevel"/>
    <w:tmpl w:val="607A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010904">
    <w:abstractNumId w:val="3"/>
  </w:num>
  <w:num w:numId="2" w16cid:durableId="1561093601">
    <w:abstractNumId w:val="2"/>
  </w:num>
  <w:num w:numId="3" w16cid:durableId="849100325">
    <w:abstractNumId w:val="0"/>
  </w:num>
  <w:num w:numId="4" w16cid:durableId="166385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3E"/>
    <w:rsid w:val="000008DB"/>
    <w:rsid w:val="00005DA5"/>
    <w:rsid w:val="00006AD7"/>
    <w:rsid w:val="000100A3"/>
    <w:rsid w:val="00014AA0"/>
    <w:rsid w:val="000156AF"/>
    <w:rsid w:val="000241AB"/>
    <w:rsid w:val="00024778"/>
    <w:rsid w:val="00030ED2"/>
    <w:rsid w:val="00035879"/>
    <w:rsid w:val="00041F55"/>
    <w:rsid w:val="000476F0"/>
    <w:rsid w:val="0005077D"/>
    <w:rsid w:val="00050C2C"/>
    <w:rsid w:val="000526EB"/>
    <w:rsid w:val="000528AB"/>
    <w:rsid w:val="000539B8"/>
    <w:rsid w:val="00053C89"/>
    <w:rsid w:val="000561DD"/>
    <w:rsid w:val="00060102"/>
    <w:rsid w:val="00063B08"/>
    <w:rsid w:val="00064002"/>
    <w:rsid w:val="00066993"/>
    <w:rsid w:val="00070247"/>
    <w:rsid w:val="00070576"/>
    <w:rsid w:val="00073966"/>
    <w:rsid w:val="00074745"/>
    <w:rsid w:val="0007667C"/>
    <w:rsid w:val="00076FC0"/>
    <w:rsid w:val="00080371"/>
    <w:rsid w:val="00081E4F"/>
    <w:rsid w:val="00081F89"/>
    <w:rsid w:val="00082581"/>
    <w:rsid w:val="00084462"/>
    <w:rsid w:val="000875CA"/>
    <w:rsid w:val="00090E05"/>
    <w:rsid w:val="0009206E"/>
    <w:rsid w:val="00094126"/>
    <w:rsid w:val="0009729C"/>
    <w:rsid w:val="000A2208"/>
    <w:rsid w:val="000A52BE"/>
    <w:rsid w:val="000B01E1"/>
    <w:rsid w:val="000B06AC"/>
    <w:rsid w:val="000B23EB"/>
    <w:rsid w:val="000C17DA"/>
    <w:rsid w:val="000D7017"/>
    <w:rsid w:val="000E4B1C"/>
    <w:rsid w:val="000F0CE9"/>
    <w:rsid w:val="000F1F73"/>
    <w:rsid w:val="000F3D49"/>
    <w:rsid w:val="00101718"/>
    <w:rsid w:val="00113D26"/>
    <w:rsid w:val="00115F2A"/>
    <w:rsid w:val="001207F2"/>
    <w:rsid w:val="00120952"/>
    <w:rsid w:val="00130A47"/>
    <w:rsid w:val="00133266"/>
    <w:rsid w:val="001370CB"/>
    <w:rsid w:val="0014084D"/>
    <w:rsid w:val="0014438E"/>
    <w:rsid w:val="00146E9D"/>
    <w:rsid w:val="00150231"/>
    <w:rsid w:val="00152F6C"/>
    <w:rsid w:val="00162112"/>
    <w:rsid w:val="0016226A"/>
    <w:rsid w:val="00165196"/>
    <w:rsid w:val="001714CC"/>
    <w:rsid w:val="00175642"/>
    <w:rsid w:val="001757F7"/>
    <w:rsid w:val="00180624"/>
    <w:rsid w:val="00191302"/>
    <w:rsid w:val="001923B8"/>
    <w:rsid w:val="00192AB7"/>
    <w:rsid w:val="001A377F"/>
    <w:rsid w:val="001A5DAD"/>
    <w:rsid w:val="001A6C68"/>
    <w:rsid w:val="001B2F51"/>
    <w:rsid w:val="001B4236"/>
    <w:rsid w:val="001B7BCA"/>
    <w:rsid w:val="001C1258"/>
    <w:rsid w:val="001C2605"/>
    <w:rsid w:val="001C2B37"/>
    <w:rsid w:val="001C2B9A"/>
    <w:rsid w:val="001C52BB"/>
    <w:rsid w:val="001C57F2"/>
    <w:rsid w:val="001C580D"/>
    <w:rsid w:val="001C6C0D"/>
    <w:rsid w:val="001D7C85"/>
    <w:rsid w:val="001E40E8"/>
    <w:rsid w:val="001E5EBD"/>
    <w:rsid w:val="001F2726"/>
    <w:rsid w:val="001F2EF4"/>
    <w:rsid w:val="001F57EE"/>
    <w:rsid w:val="0020106A"/>
    <w:rsid w:val="00205898"/>
    <w:rsid w:val="002105E1"/>
    <w:rsid w:val="00210722"/>
    <w:rsid w:val="00210B2C"/>
    <w:rsid w:val="0021484F"/>
    <w:rsid w:val="0021616A"/>
    <w:rsid w:val="00221CFF"/>
    <w:rsid w:val="00221DA0"/>
    <w:rsid w:val="00224C21"/>
    <w:rsid w:val="002363C4"/>
    <w:rsid w:val="002378E4"/>
    <w:rsid w:val="0024069F"/>
    <w:rsid w:val="00244587"/>
    <w:rsid w:val="00250121"/>
    <w:rsid w:val="00260F17"/>
    <w:rsid w:val="002634BF"/>
    <w:rsid w:val="0026465C"/>
    <w:rsid w:val="00264E92"/>
    <w:rsid w:val="0027067D"/>
    <w:rsid w:val="00270C41"/>
    <w:rsid w:val="002723C5"/>
    <w:rsid w:val="00272A51"/>
    <w:rsid w:val="00282C53"/>
    <w:rsid w:val="00293937"/>
    <w:rsid w:val="00297F1C"/>
    <w:rsid w:val="002A5D34"/>
    <w:rsid w:val="002A68DB"/>
    <w:rsid w:val="002B0904"/>
    <w:rsid w:val="002B28E3"/>
    <w:rsid w:val="002B64D8"/>
    <w:rsid w:val="002E3E3E"/>
    <w:rsid w:val="002E4282"/>
    <w:rsid w:val="002E7291"/>
    <w:rsid w:val="002F1E55"/>
    <w:rsid w:val="002F22EB"/>
    <w:rsid w:val="002F4511"/>
    <w:rsid w:val="003058D8"/>
    <w:rsid w:val="003070CF"/>
    <w:rsid w:val="00310ABB"/>
    <w:rsid w:val="00313004"/>
    <w:rsid w:val="00314D9C"/>
    <w:rsid w:val="00317F8A"/>
    <w:rsid w:val="00322145"/>
    <w:rsid w:val="00324E90"/>
    <w:rsid w:val="00327719"/>
    <w:rsid w:val="003277FC"/>
    <w:rsid w:val="003338C0"/>
    <w:rsid w:val="00337B2E"/>
    <w:rsid w:val="0034546F"/>
    <w:rsid w:val="00347F6B"/>
    <w:rsid w:val="003503A1"/>
    <w:rsid w:val="00351FEF"/>
    <w:rsid w:val="0035774F"/>
    <w:rsid w:val="0036314D"/>
    <w:rsid w:val="00364532"/>
    <w:rsid w:val="00372346"/>
    <w:rsid w:val="00372DF7"/>
    <w:rsid w:val="0037406E"/>
    <w:rsid w:val="003742F6"/>
    <w:rsid w:val="0037797C"/>
    <w:rsid w:val="00382498"/>
    <w:rsid w:val="0038625A"/>
    <w:rsid w:val="00387375"/>
    <w:rsid w:val="003955ED"/>
    <w:rsid w:val="003A001E"/>
    <w:rsid w:val="003A4D4F"/>
    <w:rsid w:val="003A4D6F"/>
    <w:rsid w:val="003A4EC5"/>
    <w:rsid w:val="003A7CD3"/>
    <w:rsid w:val="003C0C4E"/>
    <w:rsid w:val="003C5F44"/>
    <w:rsid w:val="003D26A0"/>
    <w:rsid w:val="003D5EFD"/>
    <w:rsid w:val="003E0AE6"/>
    <w:rsid w:val="003E11B1"/>
    <w:rsid w:val="003E1921"/>
    <w:rsid w:val="003E1C7A"/>
    <w:rsid w:val="003E4C96"/>
    <w:rsid w:val="003F59E1"/>
    <w:rsid w:val="003F74B6"/>
    <w:rsid w:val="004104A4"/>
    <w:rsid w:val="00413C44"/>
    <w:rsid w:val="00417AAF"/>
    <w:rsid w:val="00420BA8"/>
    <w:rsid w:val="00424B80"/>
    <w:rsid w:val="00426FBC"/>
    <w:rsid w:val="00430451"/>
    <w:rsid w:val="0043332E"/>
    <w:rsid w:val="0043528C"/>
    <w:rsid w:val="0044066A"/>
    <w:rsid w:val="00441E8A"/>
    <w:rsid w:val="0044568A"/>
    <w:rsid w:val="00445EBB"/>
    <w:rsid w:val="0045125C"/>
    <w:rsid w:val="00451408"/>
    <w:rsid w:val="00457123"/>
    <w:rsid w:val="00465EFA"/>
    <w:rsid w:val="00484081"/>
    <w:rsid w:val="00492162"/>
    <w:rsid w:val="00496D6D"/>
    <w:rsid w:val="004A0338"/>
    <w:rsid w:val="004A1CA2"/>
    <w:rsid w:val="004A27CF"/>
    <w:rsid w:val="004A37B2"/>
    <w:rsid w:val="004B1669"/>
    <w:rsid w:val="004C003D"/>
    <w:rsid w:val="004D02EA"/>
    <w:rsid w:val="004D237E"/>
    <w:rsid w:val="004D7579"/>
    <w:rsid w:val="004E0CA6"/>
    <w:rsid w:val="004E6FF9"/>
    <w:rsid w:val="004E7ECC"/>
    <w:rsid w:val="004F3EC5"/>
    <w:rsid w:val="004F4388"/>
    <w:rsid w:val="004F5B02"/>
    <w:rsid w:val="004F638F"/>
    <w:rsid w:val="004F798C"/>
    <w:rsid w:val="00503939"/>
    <w:rsid w:val="00511328"/>
    <w:rsid w:val="00513A83"/>
    <w:rsid w:val="005152D3"/>
    <w:rsid w:val="00517057"/>
    <w:rsid w:val="005175A8"/>
    <w:rsid w:val="0052072A"/>
    <w:rsid w:val="005208B9"/>
    <w:rsid w:val="00527C26"/>
    <w:rsid w:val="00527E73"/>
    <w:rsid w:val="00532707"/>
    <w:rsid w:val="00541487"/>
    <w:rsid w:val="00542140"/>
    <w:rsid w:val="005516CC"/>
    <w:rsid w:val="00552C81"/>
    <w:rsid w:val="00557076"/>
    <w:rsid w:val="005628D7"/>
    <w:rsid w:val="00564C95"/>
    <w:rsid w:val="00565D32"/>
    <w:rsid w:val="00565EFD"/>
    <w:rsid w:val="005805E4"/>
    <w:rsid w:val="00581896"/>
    <w:rsid w:val="00583595"/>
    <w:rsid w:val="00591D92"/>
    <w:rsid w:val="00593B07"/>
    <w:rsid w:val="005A2771"/>
    <w:rsid w:val="005A3C72"/>
    <w:rsid w:val="005A441C"/>
    <w:rsid w:val="005A5930"/>
    <w:rsid w:val="005B45FA"/>
    <w:rsid w:val="005C3DB1"/>
    <w:rsid w:val="005C468C"/>
    <w:rsid w:val="005D0260"/>
    <w:rsid w:val="005D1F10"/>
    <w:rsid w:val="005D7AA2"/>
    <w:rsid w:val="005E24C3"/>
    <w:rsid w:val="005E33C5"/>
    <w:rsid w:val="005E3BCD"/>
    <w:rsid w:val="005E4710"/>
    <w:rsid w:val="005F0B65"/>
    <w:rsid w:val="005F3A60"/>
    <w:rsid w:val="005F6396"/>
    <w:rsid w:val="00611989"/>
    <w:rsid w:val="006123EF"/>
    <w:rsid w:val="00613789"/>
    <w:rsid w:val="006168D1"/>
    <w:rsid w:val="00620944"/>
    <w:rsid w:val="00621CAE"/>
    <w:rsid w:val="006253F6"/>
    <w:rsid w:val="00630CF7"/>
    <w:rsid w:val="00632410"/>
    <w:rsid w:val="00636F39"/>
    <w:rsid w:val="0064026B"/>
    <w:rsid w:val="006446BC"/>
    <w:rsid w:val="00644C72"/>
    <w:rsid w:val="00652B12"/>
    <w:rsid w:val="0065633E"/>
    <w:rsid w:val="00664A92"/>
    <w:rsid w:val="00667BDA"/>
    <w:rsid w:val="00681995"/>
    <w:rsid w:val="0068778A"/>
    <w:rsid w:val="00687BDE"/>
    <w:rsid w:val="00690403"/>
    <w:rsid w:val="00691C89"/>
    <w:rsid w:val="006935F8"/>
    <w:rsid w:val="0069700E"/>
    <w:rsid w:val="00697A55"/>
    <w:rsid w:val="006A1F66"/>
    <w:rsid w:val="006B0EC8"/>
    <w:rsid w:val="006B0F1A"/>
    <w:rsid w:val="006B3FD6"/>
    <w:rsid w:val="006B53C5"/>
    <w:rsid w:val="006B70BE"/>
    <w:rsid w:val="006C281A"/>
    <w:rsid w:val="006E3361"/>
    <w:rsid w:val="00704CD4"/>
    <w:rsid w:val="00706ADC"/>
    <w:rsid w:val="0070709A"/>
    <w:rsid w:val="007132E6"/>
    <w:rsid w:val="007170C7"/>
    <w:rsid w:val="00720713"/>
    <w:rsid w:val="00720E90"/>
    <w:rsid w:val="007304D1"/>
    <w:rsid w:val="007335E4"/>
    <w:rsid w:val="00746CC6"/>
    <w:rsid w:val="00746FD3"/>
    <w:rsid w:val="00750D22"/>
    <w:rsid w:val="007536B2"/>
    <w:rsid w:val="00761C3A"/>
    <w:rsid w:val="00761F3A"/>
    <w:rsid w:val="00762722"/>
    <w:rsid w:val="00763AF5"/>
    <w:rsid w:val="007716A4"/>
    <w:rsid w:val="00790BCA"/>
    <w:rsid w:val="0079372D"/>
    <w:rsid w:val="00794B1C"/>
    <w:rsid w:val="007959EE"/>
    <w:rsid w:val="007A193A"/>
    <w:rsid w:val="007A321E"/>
    <w:rsid w:val="007B00B2"/>
    <w:rsid w:val="007B1A74"/>
    <w:rsid w:val="007B6D2C"/>
    <w:rsid w:val="007B7D98"/>
    <w:rsid w:val="007C02C4"/>
    <w:rsid w:val="007C31C5"/>
    <w:rsid w:val="007C4328"/>
    <w:rsid w:val="007D6CC4"/>
    <w:rsid w:val="007D72AD"/>
    <w:rsid w:val="007E37F8"/>
    <w:rsid w:val="007E3C27"/>
    <w:rsid w:val="007E63A2"/>
    <w:rsid w:val="007F239D"/>
    <w:rsid w:val="008031FE"/>
    <w:rsid w:val="00803669"/>
    <w:rsid w:val="00803872"/>
    <w:rsid w:val="00805B1F"/>
    <w:rsid w:val="00812A45"/>
    <w:rsid w:val="008220F4"/>
    <w:rsid w:val="0083696E"/>
    <w:rsid w:val="00836993"/>
    <w:rsid w:val="00843266"/>
    <w:rsid w:val="00846721"/>
    <w:rsid w:val="00847F43"/>
    <w:rsid w:val="008555EC"/>
    <w:rsid w:val="008576B9"/>
    <w:rsid w:val="008638FA"/>
    <w:rsid w:val="00863B8E"/>
    <w:rsid w:val="008715A7"/>
    <w:rsid w:val="00872C2E"/>
    <w:rsid w:val="00875D00"/>
    <w:rsid w:val="00877D67"/>
    <w:rsid w:val="00883BDA"/>
    <w:rsid w:val="00892327"/>
    <w:rsid w:val="00893F64"/>
    <w:rsid w:val="0089769E"/>
    <w:rsid w:val="008A2AB3"/>
    <w:rsid w:val="008A2D34"/>
    <w:rsid w:val="008A35C3"/>
    <w:rsid w:val="008A3E19"/>
    <w:rsid w:val="008A7C73"/>
    <w:rsid w:val="008B5942"/>
    <w:rsid w:val="008C29B8"/>
    <w:rsid w:val="008C2C25"/>
    <w:rsid w:val="008C7E83"/>
    <w:rsid w:val="008D05DD"/>
    <w:rsid w:val="008D235F"/>
    <w:rsid w:val="008D3096"/>
    <w:rsid w:val="008D46A1"/>
    <w:rsid w:val="008D555E"/>
    <w:rsid w:val="008E010B"/>
    <w:rsid w:val="008E151A"/>
    <w:rsid w:val="008E1E20"/>
    <w:rsid w:val="008E3199"/>
    <w:rsid w:val="008F557F"/>
    <w:rsid w:val="008F605C"/>
    <w:rsid w:val="008F7E34"/>
    <w:rsid w:val="0090181C"/>
    <w:rsid w:val="0091467B"/>
    <w:rsid w:val="00916D62"/>
    <w:rsid w:val="00916F2A"/>
    <w:rsid w:val="0091742F"/>
    <w:rsid w:val="009175BF"/>
    <w:rsid w:val="009307D3"/>
    <w:rsid w:val="00935BFF"/>
    <w:rsid w:val="00941045"/>
    <w:rsid w:val="00957246"/>
    <w:rsid w:val="00963E8D"/>
    <w:rsid w:val="00970414"/>
    <w:rsid w:val="00972101"/>
    <w:rsid w:val="00972DBA"/>
    <w:rsid w:val="00974240"/>
    <w:rsid w:val="00980107"/>
    <w:rsid w:val="00981AC7"/>
    <w:rsid w:val="00984739"/>
    <w:rsid w:val="00997558"/>
    <w:rsid w:val="009A17EA"/>
    <w:rsid w:val="009A65FB"/>
    <w:rsid w:val="009B43EE"/>
    <w:rsid w:val="009B7305"/>
    <w:rsid w:val="009C3063"/>
    <w:rsid w:val="009C696C"/>
    <w:rsid w:val="009D7382"/>
    <w:rsid w:val="009E50FD"/>
    <w:rsid w:val="009F0C78"/>
    <w:rsid w:val="009F5B03"/>
    <w:rsid w:val="00A044EF"/>
    <w:rsid w:val="00A075A9"/>
    <w:rsid w:val="00A127CD"/>
    <w:rsid w:val="00A21940"/>
    <w:rsid w:val="00A248D1"/>
    <w:rsid w:val="00A25B15"/>
    <w:rsid w:val="00A30CEF"/>
    <w:rsid w:val="00A310B6"/>
    <w:rsid w:val="00A31E41"/>
    <w:rsid w:val="00A33D53"/>
    <w:rsid w:val="00A402D5"/>
    <w:rsid w:val="00A40C0A"/>
    <w:rsid w:val="00A41FE4"/>
    <w:rsid w:val="00A42021"/>
    <w:rsid w:val="00A44F8F"/>
    <w:rsid w:val="00A47B7D"/>
    <w:rsid w:val="00A51E4B"/>
    <w:rsid w:val="00A550F1"/>
    <w:rsid w:val="00A55103"/>
    <w:rsid w:val="00A615C1"/>
    <w:rsid w:val="00A61768"/>
    <w:rsid w:val="00A650B9"/>
    <w:rsid w:val="00A7146F"/>
    <w:rsid w:val="00A7636A"/>
    <w:rsid w:val="00A76589"/>
    <w:rsid w:val="00A7757C"/>
    <w:rsid w:val="00A85929"/>
    <w:rsid w:val="00AA3073"/>
    <w:rsid w:val="00AA3951"/>
    <w:rsid w:val="00AA7E6A"/>
    <w:rsid w:val="00AB6F7E"/>
    <w:rsid w:val="00AC3D37"/>
    <w:rsid w:val="00AC481E"/>
    <w:rsid w:val="00AC5517"/>
    <w:rsid w:val="00AC7749"/>
    <w:rsid w:val="00AD28F3"/>
    <w:rsid w:val="00AD69AD"/>
    <w:rsid w:val="00AE65DD"/>
    <w:rsid w:val="00AE7A36"/>
    <w:rsid w:val="00AF254A"/>
    <w:rsid w:val="00AF2944"/>
    <w:rsid w:val="00AF64FD"/>
    <w:rsid w:val="00B0694B"/>
    <w:rsid w:val="00B10533"/>
    <w:rsid w:val="00B11BBB"/>
    <w:rsid w:val="00B12D22"/>
    <w:rsid w:val="00B14566"/>
    <w:rsid w:val="00B147A9"/>
    <w:rsid w:val="00B20649"/>
    <w:rsid w:val="00B25B30"/>
    <w:rsid w:val="00B25D9C"/>
    <w:rsid w:val="00B314A5"/>
    <w:rsid w:val="00B423F1"/>
    <w:rsid w:val="00B441C9"/>
    <w:rsid w:val="00B459C1"/>
    <w:rsid w:val="00B505CC"/>
    <w:rsid w:val="00B53A57"/>
    <w:rsid w:val="00B545A1"/>
    <w:rsid w:val="00B55C10"/>
    <w:rsid w:val="00B5727C"/>
    <w:rsid w:val="00B5745F"/>
    <w:rsid w:val="00B60DAF"/>
    <w:rsid w:val="00B636FD"/>
    <w:rsid w:val="00B63E40"/>
    <w:rsid w:val="00B71380"/>
    <w:rsid w:val="00B71D42"/>
    <w:rsid w:val="00B722FB"/>
    <w:rsid w:val="00B96F99"/>
    <w:rsid w:val="00BA0882"/>
    <w:rsid w:val="00BB03D5"/>
    <w:rsid w:val="00BB1FC9"/>
    <w:rsid w:val="00BB414D"/>
    <w:rsid w:val="00BB6F47"/>
    <w:rsid w:val="00BC05B6"/>
    <w:rsid w:val="00BC29BE"/>
    <w:rsid w:val="00BC51C5"/>
    <w:rsid w:val="00BC7A66"/>
    <w:rsid w:val="00BD37E4"/>
    <w:rsid w:val="00BD4038"/>
    <w:rsid w:val="00BD452C"/>
    <w:rsid w:val="00BD55FF"/>
    <w:rsid w:val="00BD79DF"/>
    <w:rsid w:val="00BE0AE6"/>
    <w:rsid w:val="00BE2B6C"/>
    <w:rsid w:val="00BF0906"/>
    <w:rsid w:val="00C1587C"/>
    <w:rsid w:val="00C219C4"/>
    <w:rsid w:val="00C25346"/>
    <w:rsid w:val="00C40736"/>
    <w:rsid w:val="00C420B0"/>
    <w:rsid w:val="00C42B9E"/>
    <w:rsid w:val="00C45AC8"/>
    <w:rsid w:val="00C47397"/>
    <w:rsid w:val="00C52532"/>
    <w:rsid w:val="00C52ABA"/>
    <w:rsid w:val="00C53DC8"/>
    <w:rsid w:val="00C54200"/>
    <w:rsid w:val="00C64E85"/>
    <w:rsid w:val="00C673FA"/>
    <w:rsid w:val="00C67BA3"/>
    <w:rsid w:val="00C7260C"/>
    <w:rsid w:val="00C872D6"/>
    <w:rsid w:val="00C91C01"/>
    <w:rsid w:val="00C93EF3"/>
    <w:rsid w:val="00C9472D"/>
    <w:rsid w:val="00CA0282"/>
    <w:rsid w:val="00CA4BE1"/>
    <w:rsid w:val="00CA58F7"/>
    <w:rsid w:val="00CA6B73"/>
    <w:rsid w:val="00CB5946"/>
    <w:rsid w:val="00CB59C5"/>
    <w:rsid w:val="00CB701C"/>
    <w:rsid w:val="00CC7E32"/>
    <w:rsid w:val="00CD3824"/>
    <w:rsid w:val="00CD58A3"/>
    <w:rsid w:val="00CE10EE"/>
    <w:rsid w:val="00CE357E"/>
    <w:rsid w:val="00CE584B"/>
    <w:rsid w:val="00CE69EC"/>
    <w:rsid w:val="00CF0E7A"/>
    <w:rsid w:val="00CF4262"/>
    <w:rsid w:val="00D00770"/>
    <w:rsid w:val="00D02C68"/>
    <w:rsid w:val="00D04023"/>
    <w:rsid w:val="00D07138"/>
    <w:rsid w:val="00D222AE"/>
    <w:rsid w:val="00D2302D"/>
    <w:rsid w:val="00D30873"/>
    <w:rsid w:val="00D30C67"/>
    <w:rsid w:val="00D31701"/>
    <w:rsid w:val="00D31787"/>
    <w:rsid w:val="00D51932"/>
    <w:rsid w:val="00D548CF"/>
    <w:rsid w:val="00D554E2"/>
    <w:rsid w:val="00D67F62"/>
    <w:rsid w:val="00D753F4"/>
    <w:rsid w:val="00D765B7"/>
    <w:rsid w:val="00D955FC"/>
    <w:rsid w:val="00DA1263"/>
    <w:rsid w:val="00DB18A3"/>
    <w:rsid w:val="00DB5F3C"/>
    <w:rsid w:val="00DB7B30"/>
    <w:rsid w:val="00DC1058"/>
    <w:rsid w:val="00DC58A3"/>
    <w:rsid w:val="00DD683F"/>
    <w:rsid w:val="00DE258A"/>
    <w:rsid w:val="00DE65FB"/>
    <w:rsid w:val="00DE7EF6"/>
    <w:rsid w:val="00DF7A50"/>
    <w:rsid w:val="00E0191A"/>
    <w:rsid w:val="00E01D8A"/>
    <w:rsid w:val="00E03D7D"/>
    <w:rsid w:val="00E059FB"/>
    <w:rsid w:val="00E07521"/>
    <w:rsid w:val="00E07522"/>
    <w:rsid w:val="00E07AFE"/>
    <w:rsid w:val="00E20EB9"/>
    <w:rsid w:val="00E21739"/>
    <w:rsid w:val="00E235D0"/>
    <w:rsid w:val="00E27BE6"/>
    <w:rsid w:val="00E37738"/>
    <w:rsid w:val="00E5123E"/>
    <w:rsid w:val="00E61199"/>
    <w:rsid w:val="00E830EB"/>
    <w:rsid w:val="00E866F1"/>
    <w:rsid w:val="00E86AAA"/>
    <w:rsid w:val="00E909EF"/>
    <w:rsid w:val="00E95D80"/>
    <w:rsid w:val="00E96B9B"/>
    <w:rsid w:val="00EA2064"/>
    <w:rsid w:val="00EB111E"/>
    <w:rsid w:val="00EB2D43"/>
    <w:rsid w:val="00EB5EDA"/>
    <w:rsid w:val="00EC06F2"/>
    <w:rsid w:val="00EC4679"/>
    <w:rsid w:val="00ED01D9"/>
    <w:rsid w:val="00EE6D88"/>
    <w:rsid w:val="00EF321B"/>
    <w:rsid w:val="00EF6C2B"/>
    <w:rsid w:val="00F008B0"/>
    <w:rsid w:val="00F06F37"/>
    <w:rsid w:val="00F12E2B"/>
    <w:rsid w:val="00F325E3"/>
    <w:rsid w:val="00F460E8"/>
    <w:rsid w:val="00F46CB5"/>
    <w:rsid w:val="00F565A9"/>
    <w:rsid w:val="00F57077"/>
    <w:rsid w:val="00F65E2D"/>
    <w:rsid w:val="00F7350B"/>
    <w:rsid w:val="00F80A32"/>
    <w:rsid w:val="00F91E79"/>
    <w:rsid w:val="00F952C9"/>
    <w:rsid w:val="00F96D1D"/>
    <w:rsid w:val="00F97F8C"/>
    <w:rsid w:val="00FA0712"/>
    <w:rsid w:val="00FA6BD6"/>
    <w:rsid w:val="00FC42D4"/>
    <w:rsid w:val="00FD13DE"/>
    <w:rsid w:val="00FD4731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90463"/>
  <w15:chartTrackingRefBased/>
  <w15:docId w15:val="{0EDA2084-E6B3-4898-B45D-F1D7103D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F6B"/>
    <w:pPr>
      <w:ind w:left="720"/>
      <w:contextualSpacing/>
    </w:pPr>
  </w:style>
  <w:style w:type="table" w:styleId="TableGrid">
    <w:name w:val="Table Grid"/>
    <w:basedOn w:val="TableNormal"/>
    <w:uiPriority w:val="39"/>
    <w:rsid w:val="00A25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02D"/>
  </w:style>
  <w:style w:type="paragraph" w:styleId="Footer">
    <w:name w:val="footer"/>
    <w:basedOn w:val="Normal"/>
    <w:link w:val="Foot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F46B6-D52A-41DD-8F56-088260EB50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7DEEF-5BC1-4A07-BE8E-733EFCE37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Kent Steven</dc:creator>
  <cp:keywords/>
  <dc:description/>
  <cp:lastModifiedBy>VanZandt, Peter A.</cp:lastModifiedBy>
  <cp:revision>3</cp:revision>
  <dcterms:created xsi:type="dcterms:W3CDTF">2022-08-22T01:09:00Z</dcterms:created>
  <dcterms:modified xsi:type="dcterms:W3CDTF">2022-08-22T01:12:00Z</dcterms:modified>
</cp:coreProperties>
</file>