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E2C1D" w14:textId="77777777" w:rsidR="00261214" w:rsidRPr="00444684" w:rsidRDefault="00444684" w:rsidP="00444684">
      <w:pPr>
        <w:jc w:val="center"/>
        <w:rPr>
          <w:rFonts w:ascii="Cambria Math" w:hAnsi="Cambria Math"/>
        </w:rPr>
      </w:pPr>
      <w:r w:rsidRPr="00444684">
        <w:rPr>
          <w:rFonts w:ascii="Cambria Math" w:hAnsi="Cambria Math"/>
        </w:rPr>
        <w:t>Test 1 Equations</w:t>
      </w:r>
      <w:r w:rsidR="00D2719F">
        <w:rPr>
          <w:rFonts w:ascii="Cambria Math" w:hAnsi="Cambria Math"/>
        </w:rPr>
        <w:t xml:space="preserve"> that you need to memorize</w:t>
      </w:r>
    </w:p>
    <w:p w14:paraId="047F2A1B" w14:textId="77777777" w:rsidR="00D2719F" w:rsidRDefault="00D2719F">
      <w:pPr>
        <w:rPr>
          <w:rFonts w:ascii="Cambria Math" w:hAnsi="Cambria Math"/>
        </w:rPr>
      </w:pPr>
      <w:r>
        <w:rPr>
          <w:rFonts w:ascii="Cambria Math" w:hAnsi="Cambria Math"/>
        </w:rPr>
        <w:t>Chapter 1</w:t>
      </w:r>
    </w:p>
    <w:tbl>
      <w:tblPr>
        <w:tblStyle w:val="PlainTable3"/>
        <w:tblW w:w="3657" w:type="dxa"/>
        <w:tblLook w:val="0420" w:firstRow="1" w:lastRow="0" w:firstColumn="0" w:lastColumn="0" w:noHBand="0" w:noVBand="1"/>
      </w:tblPr>
      <w:tblGrid>
        <w:gridCol w:w="1219"/>
        <w:gridCol w:w="1219"/>
        <w:gridCol w:w="1219"/>
      </w:tblGrid>
      <w:tr w:rsidR="003A292C" w:rsidRPr="003A292C" w14:paraId="487817DA" w14:textId="77777777" w:rsidTr="003A29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tcW w:w="1219" w:type="dxa"/>
            <w:hideMark/>
          </w:tcPr>
          <w:p w14:paraId="33EBF09E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  <w:b w:val="0"/>
                <w:bCs w:val="0"/>
                <w:caps w:val="0"/>
              </w:rPr>
            </w:pPr>
            <w:r w:rsidRPr="003A292C">
              <w:rPr>
                <w:rFonts w:ascii="Cambria Math" w:hAnsi="Cambria Math"/>
                <w:b w:val="0"/>
                <w:bCs w:val="0"/>
                <w:caps w:val="0"/>
              </w:rPr>
              <w:t>Prefix</w:t>
            </w:r>
          </w:p>
        </w:tc>
        <w:tc>
          <w:tcPr>
            <w:tcW w:w="1219" w:type="dxa"/>
            <w:hideMark/>
          </w:tcPr>
          <w:p w14:paraId="7D7AAFBE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  <w:b w:val="0"/>
                <w:bCs w:val="0"/>
                <w:caps w:val="0"/>
              </w:rPr>
            </w:pPr>
            <w:r w:rsidRPr="003A292C">
              <w:rPr>
                <w:rFonts w:ascii="Cambria Math" w:hAnsi="Cambria Math"/>
                <w:b w:val="0"/>
                <w:bCs w:val="0"/>
                <w:caps w:val="0"/>
              </w:rPr>
              <w:t>Symbol</w:t>
            </w:r>
          </w:p>
        </w:tc>
        <w:tc>
          <w:tcPr>
            <w:tcW w:w="1219" w:type="dxa"/>
            <w:hideMark/>
          </w:tcPr>
          <w:p w14:paraId="66B4FDC3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  <w:b w:val="0"/>
                <w:bCs w:val="0"/>
                <w:caps w:val="0"/>
              </w:rPr>
            </w:pPr>
            <w:r w:rsidRPr="003A292C">
              <w:rPr>
                <w:rFonts w:ascii="Cambria Math" w:hAnsi="Cambria Math"/>
                <w:b w:val="0"/>
                <w:bCs w:val="0"/>
                <w:caps w:val="0"/>
              </w:rPr>
              <w:t>Factor</w:t>
            </w:r>
          </w:p>
        </w:tc>
      </w:tr>
      <w:tr w:rsidR="003A292C" w:rsidRPr="003A292C" w14:paraId="69881C7E" w14:textId="77777777" w:rsidTr="003A2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tcW w:w="1219" w:type="dxa"/>
            <w:hideMark/>
          </w:tcPr>
          <w:p w14:paraId="4237E342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nano</w:t>
            </w:r>
          </w:p>
        </w:tc>
        <w:tc>
          <w:tcPr>
            <w:tcW w:w="1219" w:type="dxa"/>
            <w:hideMark/>
          </w:tcPr>
          <w:p w14:paraId="75162561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n</w:t>
            </w:r>
          </w:p>
        </w:tc>
        <w:tc>
          <w:tcPr>
            <w:tcW w:w="1219" w:type="dxa"/>
            <w:hideMark/>
          </w:tcPr>
          <w:p w14:paraId="6DA4E23C" w14:textId="7090F395" w:rsidR="003A292C" w:rsidRPr="003A292C" w:rsidRDefault="00000000" w:rsidP="003A292C">
            <w:pPr>
              <w:spacing w:line="259" w:lineRule="auto"/>
              <w:jc w:val="both"/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-9</m:t>
                    </m:r>
                  </m:sup>
                </m:sSup>
              </m:oMath>
            </m:oMathPara>
          </w:p>
        </w:tc>
      </w:tr>
      <w:tr w:rsidR="003A292C" w:rsidRPr="003A292C" w14:paraId="1B16B11E" w14:textId="77777777" w:rsidTr="003A292C">
        <w:trPr>
          <w:trHeight w:val="230"/>
        </w:trPr>
        <w:tc>
          <w:tcPr>
            <w:tcW w:w="1219" w:type="dxa"/>
            <w:hideMark/>
          </w:tcPr>
          <w:p w14:paraId="25BA01FD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micro</w:t>
            </w:r>
          </w:p>
        </w:tc>
        <w:tc>
          <w:tcPr>
            <w:tcW w:w="1219" w:type="dxa"/>
            <w:hideMark/>
          </w:tcPr>
          <w:p w14:paraId="6BEB162F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  <w:lang w:val="el-GR"/>
              </w:rPr>
              <w:t>μ</w:t>
            </w:r>
          </w:p>
        </w:tc>
        <w:tc>
          <w:tcPr>
            <w:tcW w:w="1219" w:type="dxa"/>
            <w:hideMark/>
          </w:tcPr>
          <w:p w14:paraId="34BEE9A8" w14:textId="6F4620B0" w:rsidR="003A292C" w:rsidRPr="003A292C" w:rsidRDefault="00000000" w:rsidP="003A292C">
            <w:pPr>
              <w:spacing w:line="259" w:lineRule="auto"/>
              <w:jc w:val="both"/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-6</m:t>
                    </m:r>
                  </m:sup>
                </m:sSup>
              </m:oMath>
            </m:oMathPara>
          </w:p>
        </w:tc>
      </w:tr>
      <w:tr w:rsidR="003A292C" w:rsidRPr="003A292C" w14:paraId="00583C97" w14:textId="77777777" w:rsidTr="003A2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tcW w:w="1219" w:type="dxa"/>
            <w:hideMark/>
          </w:tcPr>
          <w:p w14:paraId="509592A1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milli</w:t>
            </w:r>
          </w:p>
        </w:tc>
        <w:tc>
          <w:tcPr>
            <w:tcW w:w="1219" w:type="dxa"/>
            <w:hideMark/>
          </w:tcPr>
          <w:p w14:paraId="15271650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m</w:t>
            </w:r>
          </w:p>
        </w:tc>
        <w:tc>
          <w:tcPr>
            <w:tcW w:w="1219" w:type="dxa"/>
            <w:hideMark/>
          </w:tcPr>
          <w:p w14:paraId="178FBD27" w14:textId="734A092B" w:rsidR="003A292C" w:rsidRPr="003A292C" w:rsidRDefault="00000000" w:rsidP="003A292C">
            <w:pPr>
              <w:spacing w:line="259" w:lineRule="auto"/>
              <w:jc w:val="both"/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-3</m:t>
                    </m:r>
                  </m:sup>
                </m:sSup>
              </m:oMath>
            </m:oMathPara>
          </w:p>
        </w:tc>
      </w:tr>
      <w:tr w:rsidR="003A292C" w:rsidRPr="003A292C" w14:paraId="0566C0B1" w14:textId="77777777" w:rsidTr="003A292C">
        <w:trPr>
          <w:trHeight w:val="230"/>
        </w:trPr>
        <w:tc>
          <w:tcPr>
            <w:tcW w:w="1219" w:type="dxa"/>
            <w:hideMark/>
          </w:tcPr>
          <w:p w14:paraId="541921E7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proofErr w:type="spellStart"/>
            <w:r w:rsidRPr="003A292C">
              <w:rPr>
                <w:rFonts w:ascii="Cambria Math" w:hAnsi="Cambria Math"/>
              </w:rPr>
              <w:t>centi</w:t>
            </w:r>
            <w:proofErr w:type="spellEnd"/>
          </w:p>
        </w:tc>
        <w:tc>
          <w:tcPr>
            <w:tcW w:w="1219" w:type="dxa"/>
            <w:hideMark/>
          </w:tcPr>
          <w:p w14:paraId="63368BD6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c</w:t>
            </w:r>
          </w:p>
        </w:tc>
        <w:tc>
          <w:tcPr>
            <w:tcW w:w="1219" w:type="dxa"/>
            <w:hideMark/>
          </w:tcPr>
          <w:p w14:paraId="3E9F6EB4" w14:textId="7EE8EF16" w:rsidR="003A292C" w:rsidRPr="003A292C" w:rsidRDefault="00000000" w:rsidP="003A292C">
            <w:pPr>
              <w:spacing w:line="259" w:lineRule="auto"/>
              <w:jc w:val="both"/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</m:oMath>
            </m:oMathPara>
          </w:p>
        </w:tc>
      </w:tr>
      <w:tr w:rsidR="003A292C" w:rsidRPr="003A292C" w14:paraId="3D756CCD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tcW w:w="1219" w:type="dxa"/>
            <w:hideMark/>
          </w:tcPr>
          <w:p w14:paraId="51FAFCD9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kilo</w:t>
            </w:r>
          </w:p>
        </w:tc>
        <w:tc>
          <w:tcPr>
            <w:tcW w:w="1219" w:type="dxa"/>
            <w:hideMark/>
          </w:tcPr>
          <w:p w14:paraId="24C2F3AA" w14:textId="77777777" w:rsidR="003A292C" w:rsidRPr="003A292C" w:rsidRDefault="003A292C" w:rsidP="003A292C">
            <w:pPr>
              <w:spacing w:line="259" w:lineRule="auto"/>
              <w:rPr>
                <w:rFonts w:ascii="Cambria Math" w:hAnsi="Cambria Math"/>
              </w:rPr>
            </w:pPr>
            <w:r w:rsidRPr="003A292C">
              <w:rPr>
                <w:rFonts w:ascii="Cambria Math" w:hAnsi="Cambria Math"/>
              </w:rPr>
              <w:t>k</w:t>
            </w:r>
          </w:p>
        </w:tc>
        <w:tc>
          <w:tcPr>
            <w:tcW w:w="1219" w:type="dxa"/>
            <w:hideMark/>
          </w:tcPr>
          <w:p w14:paraId="660A8AA3" w14:textId="6CF6C5D8" w:rsidR="003A292C" w:rsidRPr="003A292C" w:rsidRDefault="00000000" w:rsidP="003A292C">
            <w:pPr>
              <w:spacing w:line="259" w:lineRule="auto"/>
              <w:jc w:val="both"/>
              <w:rPr>
                <w:rFonts w:ascii="Cambria Math" w:hAnsi="Cambria Math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</w:tr>
    </w:tbl>
    <w:p w14:paraId="03A5CE99" w14:textId="77777777" w:rsidR="003A292C" w:rsidRDefault="003A292C" w:rsidP="003A292C">
      <w:pPr>
        <w:spacing w:after="0"/>
        <w:rPr>
          <w:rFonts w:ascii="Cambria Math" w:hAnsi="Cambria Math"/>
          <w:bCs/>
        </w:rPr>
      </w:pPr>
    </w:p>
    <w:p w14:paraId="65FB8CA4" w14:textId="0A769E5B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Length</w:t>
      </w:r>
    </w:p>
    <w:p w14:paraId="7E4F4AE0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</w:p>
    <w:p w14:paraId="42F86D0F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1 mile = 5280 feet</w:t>
      </w:r>
    </w:p>
    <w:p w14:paraId="4F7CB1B0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1 yard = 3 feet</w:t>
      </w:r>
    </w:p>
    <w:p w14:paraId="7DB99396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1 foot = 12 inches</w:t>
      </w:r>
    </w:p>
    <w:p w14:paraId="535FDBD9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1 inch = 2.54 centimeters</w:t>
      </w:r>
    </w:p>
    <w:p w14:paraId="1F820580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</w:p>
    <w:p w14:paraId="5A19C808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Mass</w:t>
      </w:r>
    </w:p>
    <w:p w14:paraId="2A1BAE27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</w:p>
    <w:p w14:paraId="02F4E071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1 kilogram = 2.2 pounds (approximately)</w:t>
      </w:r>
    </w:p>
    <w:p w14:paraId="07531377" w14:textId="6ADD7E0A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1 pound = 1</w:t>
      </w:r>
      <w:r w:rsidR="009A0483">
        <w:rPr>
          <w:rFonts w:ascii="Cambria Math" w:hAnsi="Cambria Math"/>
          <w:bCs/>
        </w:rPr>
        <w:t>6</w:t>
      </w:r>
      <w:r w:rsidRPr="003A292C">
        <w:rPr>
          <w:rFonts w:ascii="Cambria Math" w:hAnsi="Cambria Math"/>
          <w:bCs/>
        </w:rPr>
        <w:t xml:space="preserve"> ounces</w:t>
      </w:r>
    </w:p>
    <w:p w14:paraId="191E697E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 xml:space="preserve">1 ton = 2000 pounds </w:t>
      </w:r>
    </w:p>
    <w:p w14:paraId="3EC1C627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</w:p>
    <w:p w14:paraId="2ADBAA63" w14:textId="77777777" w:rsidR="003A292C" w:rsidRPr="003A292C" w:rsidRDefault="003A292C" w:rsidP="003A292C">
      <w:pPr>
        <w:spacing w:after="0"/>
        <w:rPr>
          <w:rFonts w:ascii="Cambria Math" w:hAnsi="Cambria Math"/>
          <w:bCs/>
        </w:rPr>
      </w:pPr>
      <w:r w:rsidRPr="003A292C">
        <w:rPr>
          <w:rFonts w:ascii="Cambria Math" w:hAnsi="Cambria Math"/>
          <w:bCs/>
        </w:rPr>
        <w:t>Volume</w:t>
      </w:r>
    </w:p>
    <w:p w14:paraId="48245C73" w14:textId="77777777" w:rsidR="003A292C" w:rsidRPr="003A292C" w:rsidRDefault="003A292C" w:rsidP="003A292C">
      <w:pPr>
        <w:spacing w:after="0"/>
        <w:rPr>
          <w:rFonts w:ascii="Cambria Math" w:hAnsi="Cambria Math"/>
        </w:rPr>
      </w:pPr>
    </w:p>
    <w:p w14:paraId="35FB825E" w14:textId="77777777" w:rsidR="003A292C" w:rsidRPr="003A292C" w:rsidRDefault="003A292C" w:rsidP="003A292C">
      <w:pPr>
        <w:spacing w:after="0"/>
        <w:rPr>
          <w:rFonts w:ascii="Cambria Math" w:hAnsi="Cambria Math"/>
        </w:rPr>
      </w:pPr>
      <w:r w:rsidRPr="003A292C">
        <w:rPr>
          <w:rFonts w:ascii="Cambria Math" w:hAnsi="Cambria Math"/>
        </w:rPr>
        <w:t>1 mL = 1 cm</w:t>
      </w:r>
      <w:r w:rsidRPr="003A292C">
        <w:rPr>
          <w:rFonts w:ascii="Cambria Math" w:hAnsi="Cambria Math"/>
          <w:vertAlign w:val="superscript"/>
        </w:rPr>
        <w:t>3</w:t>
      </w:r>
    </w:p>
    <w:p w14:paraId="0CC51AC8" w14:textId="77777777" w:rsidR="003A292C" w:rsidRPr="003A292C" w:rsidRDefault="003A292C" w:rsidP="003A292C">
      <w:pPr>
        <w:spacing w:after="0"/>
        <w:rPr>
          <w:rFonts w:ascii="Cambria Math" w:hAnsi="Cambria Math"/>
        </w:rPr>
      </w:pPr>
      <w:r w:rsidRPr="003A292C">
        <w:rPr>
          <w:rFonts w:ascii="Cambria Math" w:hAnsi="Cambria Math"/>
        </w:rPr>
        <w:t>1 liter = 1.06 quarts (approximately)</w:t>
      </w:r>
    </w:p>
    <w:p w14:paraId="00A11AD7" w14:textId="77777777" w:rsidR="003A292C" w:rsidRPr="003A292C" w:rsidRDefault="003A292C" w:rsidP="003A292C">
      <w:pPr>
        <w:spacing w:after="0"/>
        <w:rPr>
          <w:rFonts w:ascii="Cambria Math" w:hAnsi="Cambria Math"/>
        </w:rPr>
      </w:pPr>
      <w:r w:rsidRPr="003A292C">
        <w:rPr>
          <w:rFonts w:ascii="Cambria Math" w:hAnsi="Cambria Math"/>
        </w:rPr>
        <w:t>1 gallon = 4 quarts</w:t>
      </w:r>
    </w:p>
    <w:p w14:paraId="3F8F55B7" w14:textId="77777777" w:rsidR="003A292C" w:rsidRPr="003A292C" w:rsidRDefault="003A292C" w:rsidP="003A292C">
      <w:pPr>
        <w:spacing w:after="0"/>
        <w:rPr>
          <w:rFonts w:ascii="Cambria Math" w:hAnsi="Cambria Math"/>
        </w:rPr>
      </w:pPr>
      <w:r w:rsidRPr="003A292C">
        <w:rPr>
          <w:rFonts w:ascii="Cambria Math" w:hAnsi="Cambria Math"/>
        </w:rPr>
        <w:t>1 quart = 2 pints</w:t>
      </w:r>
    </w:p>
    <w:p w14:paraId="78D81C61" w14:textId="77777777" w:rsidR="003A292C" w:rsidRPr="003A292C" w:rsidRDefault="003A292C" w:rsidP="003A292C">
      <w:pPr>
        <w:spacing w:after="0"/>
        <w:rPr>
          <w:rFonts w:ascii="Cambria Math" w:hAnsi="Cambria Math"/>
        </w:rPr>
      </w:pPr>
      <w:r w:rsidRPr="003A292C">
        <w:rPr>
          <w:rFonts w:ascii="Cambria Math" w:hAnsi="Cambria Math"/>
        </w:rPr>
        <w:t>1 pint = 2 cups</w:t>
      </w:r>
    </w:p>
    <w:p w14:paraId="15C5A4CF" w14:textId="77777777" w:rsidR="003A292C" w:rsidRPr="003A292C" w:rsidRDefault="003A292C" w:rsidP="003A292C">
      <w:pPr>
        <w:spacing w:after="0"/>
        <w:rPr>
          <w:rFonts w:ascii="Cambria Math" w:hAnsi="Cambria Math"/>
        </w:rPr>
      </w:pPr>
      <w:r w:rsidRPr="003A292C">
        <w:rPr>
          <w:rFonts w:ascii="Cambria Math" w:hAnsi="Cambria Math"/>
        </w:rPr>
        <w:t>1 cup = 8 (fluid) ounces</w:t>
      </w:r>
    </w:p>
    <w:p w14:paraId="460647EB" w14:textId="77777777" w:rsidR="00020B4D" w:rsidRPr="00020B4D" w:rsidRDefault="00020B4D" w:rsidP="00020B4D">
      <w:pPr>
        <w:jc w:val="center"/>
        <w:rPr>
          <w:rFonts w:ascii="Cambria Math" w:eastAsiaTheme="minorEastAsia" w:hAnsi="Cambria Math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Density=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Mass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Volume</m:t>
              </m:r>
            </m:den>
          </m:f>
        </m:oMath>
      </m:oMathPara>
    </w:p>
    <w:p w14:paraId="7A01D709" w14:textId="77777777" w:rsidR="00444684" w:rsidRPr="00020B4D" w:rsidRDefault="00D2719F">
      <w:pPr>
        <w:rPr>
          <w:rFonts w:ascii="Cambria Math" w:eastAsiaTheme="minorEastAsia" w:hAnsi="Cambria Math"/>
        </w:rPr>
      </w:pPr>
      <w:r>
        <w:rPr>
          <w:rFonts w:ascii="Cambria Math" w:hAnsi="Cambria Math"/>
        </w:rPr>
        <w:t>Chapter 2</w:t>
      </w:r>
    </w:p>
    <w:p w14:paraId="33A37E37" w14:textId="77777777" w:rsidR="00444684" w:rsidRPr="00D2719F" w:rsidRDefault="00D2719F" w:rsidP="00444684">
      <w:pPr>
        <w:rPr>
          <w:rFonts w:ascii="Cambria Math" w:eastAsiaTheme="minorEastAsia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Mass number-Atomic number=number of neutrons</m:t>
          </m:r>
        </m:oMath>
      </m:oMathPara>
    </w:p>
    <w:p w14:paraId="222DC6E5" w14:textId="77777777" w:rsidR="00D2719F" w:rsidRPr="00D2719F" w:rsidRDefault="00D2719F" w:rsidP="00444684">
      <w:pPr>
        <w:rPr>
          <w:rFonts w:ascii="Cambria Math" w:eastAsiaTheme="minorEastAsia" w:hAnsi="Cambria Math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Atomic charge=number of protons-number of electrons</m:t>
          </m:r>
        </m:oMath>
      </m:oMathPara>
    </w:p>
    <w:p w14:paraId="5133FA89" w14:textId="0C444E6C" w:rsidR="00D2719F" w:rsidRPr="00A20790" w:rsidRDefault="00D2719F" w:rsidP="00C2783D">
      <w:pPr>
        <w:jc w:val="center"/>
        <w:rPr>
          <w:rFonts w:ascii="Cambria Math" w:eastAsiaTheme="minorEastAsia" w:hAnsi="Cambria Math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Average atomic mass=</m:t>
          </m:r>
          <m:nary>
            <m:naryPr>
              <m:chr m:val="∑"/>
              <m:supHide m:val="1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naryPr>
            <m:sub>
              <m:eqArr>
                <m:eqArr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# </m:t>
                  </m:r>
                </m:e>
                <m:e>
                  <m:r>
                    <m:rPr>
                      <m:nor/>
                    </m:rPr>
                    <w:rPr>
                      <w:rFonts w:ascii="Cambria Math" w:eastAsiaTheme="minorEastAsia" w:hAnsi="Cambria Math"/>
                      <w:i/>
                      <w:iCs/>
                    </w:rPr>
                    <m:t>i</m:t>
                  </m:r>
                </m:e>
              </m:eqArr>
            </m:sub>
            <m:sup/>
            <m:e>
              <m:d>
                <m:d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fractional abundance×isotopic mass</m:t>
                  </m:r>
                </m:e>
              </m:d>
            </m:e>
          </m:nary>
        </m:oMath>
      </m:oMathPara>
    </w:p>
    <w:p w14:paraId="33812F92" w14:textId="7E0ABF90" w:rsidR="00A20790" w:rsidRDefault="00A20790" w:rsidP="00C2783D">
      <w:pPr>
        <w:jc w:val="center"/>
        <w:rPr>
          <w:rFonts w:ascii="Cambria Math" w:eastAsiaTheme="minorEastAsia" w:hAnsi="Cambria Math"/>
          <w:iCs/>
        </w:rPr>
      </w:pPr>
    </w:p>
    <w:p w14:paraId="7D63FB1C" w14:textId="466D16ED" w:rsidR="00A20790" w:rsidRDefault="00EC105C" w:rsidP="00EC105C">
      <w:pPr>
        <w:rPr>
          <w:rFonts w:ascii="Cambria Math" w:eastAsiaTheme="minorEastAsia" w:hAnsi="Cambria Math"/>
          <w:iCs/>
        </w:rPr>
      </w:pPr>
      <w:r>
        <w:rPr>
          <w:rFonts w:ascii="Cambria Math" w:eastAsiaTheme="minorEastAsia" w:hAnsi="Cambria Math"/>
          <w:iCs/>
        </w:rPr>
        <w:t>The indicated common charges elements and indicated names of elements</w:t>
      </w:r>
    </w:p>
    <w:p w14:paraId="2876420C" w14:textId="5BD0922F" w:rsidR="00A20790" w:rsidRDefault="00A20790" w:rsidP="00C2783D">
      <w:pPr>
        <w:jc w:val="center"/>
        <w:rPr>
          <w:rFonts w:ascii="Cambria Math" w:eastAsiaTheme="minorEastAsia" w:hAnsi="Cambria Math"/>
          <w:iCs/>
        </w:rPr>
      </w:pPr>
    </w:p>
    <w:tbl>
      <w:tblPr>
        <w:tblStyle w:val="PlainTable3"/>
        <w:tblW w:w="4765" w:type="dxa"/>
        <w:tblLook w:val="04A0" w:firstRow="1" w:lastRow="0" w:firstColumn="1" w:lastColumn="0" w:noHBand="0" w:noVBand="1"/>
      </w:tblPr>
      <w:tblGrid>
        <w:gridCol w:w="1885"/>
        <w:gridCol w:w="2880"/>
      </w:tblGrid>
      <w:tr w:rsidR="00A20790" w:rsidRPr="00A20790" w14:paraId="48ABB842" w14:textId="77777777" w:rsidTr="00A20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5" w:type="dxa"/>
            <w:hideMark/>
          </w:tcPr>
          <w:p w14:paraId="45ECED66" w14:textId="2268934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lastRenderedPageBreak/>
              <w:t>Name of Ion</w:t>
            </w:r>
          </w:p>
        </w:tc>
        <w:tc>
          <w:tcPr>
            <w:tcW w:w="2880" w:type="dxa"/>
            <w:hideMark/>
          </w:tcPr>
          <w:p w14:paraId="2D5C4ABB" w14:textId="77777777" w:rsidR="00A20790" w:rsidRPr="00A20790" w:rsidRDefault="00A20790" w:rsidP="00A20790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Symbol</w:t>
            </w:r>
          </w:p>
        </w:tc>
      </w:tr>
      <w:tr w:rsidR="00A20790" w:rsidRPr="00A20790" w14:paraId="4C40EADE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7EC88B06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Ammonium</w:t>
            </w:r>
          </w:p>
        </w:tc>
        <w:tc>
          <w:tcPr>
            <w:tcW w:w="2880" w:type="dxa"/>
            <w:hideMark/>
          </w:tcPr>
          <w:p w14:paraId="6E8A5738" w14:textId="7EA1B0D9" w:rsidR="00A20790" w:rsidRPr="00A20790" w:rsidRDefault="00000000" w:rsidP="00A2079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NH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</m:sup>
                </m:sSup>
              </m:oMath>
            </m:oMathPara>
          </w:p>
        </w:tc>
      </w:tr>
      <w:tr w:rsidR="00A20790" w:rsidRPr="00A20790" w14:paraId="2B7B8B6A" w14:textId="77777777" w:rsidTr="00A2079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717F134C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Acetate</w:t>
            </w:r>
          </w:p>
        </w:tc>
        <w:tc>
          <w:tcPr>
            <w:tcW w:w="2880" w:type="dxa"/>
            <w:hideMark/>
          </w:tcPr>
          <w:p w14:paraId="331443D8" w14:textId="1F7E6690" w:rsidR="00A20790" w:rsidRPr="00A20790" w:rsidRDefault="00000000" w:rsidP="00A2079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 or 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oMath>
            </m:oMathPara>
          </w:p>
        </w:tc>
      </w:tr>
      <w:tr w:rsidR="00A20790" w:rsidRPr="00A20790" w14:paraId="5E297599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3DA02219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Cyanide</w:t>
            </w:r>
          </w:p>
        </w:tc>
        <w:tc>
          <w:tcPr>
            <w:tcW w:w="2880" w:type="dxa"/>
            <w:hideMark/>
          </w:tcPr>
          <w:p w14:paraId="4348E296" w14:textId="66F7EC74" w:rsidR="00A20790" w:rsidRPr="00A20790" w:rsidRDefault="00000000" w:rsidP="00A2079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oMath>
            </m:oMathPara>
          </w:p>
        </w:tc>
      </w:tr>
      <w:tr w:rsidR="00A20790" w:rsidRPr="00A20790" w14:paraId="37282F14" w14:textId="77777777" w:rsidTr="00A2079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77915801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Hydroxide</w:t>
            </w:r>
          </w:p>
        </w:tc>
        <w:tc>
          <w:tcPr>
            <w:tcW w:w="2880" w:type="dxa"/>
            <w:hideMark/>
          </w:tcPr>
          <w:p w14:paraId="1DEA0E02" w14:textId="6122794A" w:rsidR="00A20790" w:rsidRPr="00A20790" w:rsidRDefault="00000000" w:rsidP="00A2079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oMath>
            </m:oMathPara>
          </w:p>
        </w:tc>
      </w:tr>
      <w:tr w:rsidR="00A20790" w:rsidRPr="00A20790" w14:paraId="3F224DEF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1BA2EFA1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Chlorate</w:t>
            </w:r>
          </w:p>
        </w:tc>
        <w:tc>
          <w:tcPr>
            <w:tcW w:w="2880" w:type="dxa"/>
            <w:hideMark/>
          </w:tcPr>
          <w:p w14:paraId="54CFB367" w14:textId="3F720230" w:rsidR="00A20790" w:rsidRPr="00A20790" w:rsidRDefault="00000000" w:rsidP="00A2079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ClO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oMath>
            </m:oMathPara>
          </w:p>
        </w:tc>
      </w:tr>
      <w:tr w:rsidR="00A20790" w:rsidRPr="00A20790" w14:paraId="38B4A69B" w14:textId="77777777" w:rsidTr="00A2079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2214A9A9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Perchlorate</w:t>
            </w:r>
          </w:p>
        </w:tc>
        <w:tc>
          <w:tcPr>
            <w:tcW w:w="2880" w:type="dxa"/>
            <w:hideMark/>
          </w:tcPr>
          <w:p w14:paraId="0DBD7816" w14:textId="6BB83574" w:rsidR="00A20790" w:rsidRPr="00A20790" w:rsidRDefault="00000000" w:rsidP="00A2079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ClO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oMath>
            </m:oMathPara>
          </w:p>
        </w:tc>
      </w:tr>
      <w:tr w:rsidR="00A20790" w:rsidRPr="00A20790" w14:paraId="1A2939E8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05684E25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Nitrite</w:t>
            </w:r>
          </w:p>
        </w:tc>
        <w:tc>
          <w:tcPr>
            <w:tcW w:w="2880" w:type="dxa"/>
            <w:hideMark/>
          </w:tcPr>
          <w:p w14:paraId="0D8AA003" w14:textId="56B0C82F" w:rsidR="00A20790" w:rsidRPr="00A20790" w:rsidRDefault="00000000" w:rsidP="00A2079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NO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oMath>
            </m:oMathPara>
          </w:p>
        </w:tc>
      </w:tr>
      <w:tr w:rsidR="00A20790" w:rsidRPr="00A20790" w14:paraId="603EF22A" w14:textId="77777777" w:rsidTr="00A2079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3A9F3034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Nitrate</w:t>
            </w:r>
          </w:p>
        </w:tc>
        <w:tc>
          <w:tcPr>
            <w:tcW w:w="2880" w:type="dxa"/>
            <w:hideMark/>
          </w:tcPr>
          <w:p w14:paraId="08091A34" w14:textId="50B7FAF3" w:rsidR="00A20790" w:rsidRPr="00A20790" w:rsidRDefault="00000000" w:rsidP="00A2079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NO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</m:sup>
                </m:sSup>
              </m:oMath>
            </m:oMathPara>
          </w:p>
        </w:tc>
      </w:tr>
      <w:tr w:rsidR="00A20790" w:rsidRPr="00A20790" w14:paraId="37D2E24E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69DD14B7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Sulfite</w:t>
            </w:r>
          </w:p>
        </w:tc>
        <w:tc>
          <w:tcPr>
            <w:tcW w:w="2880" w:type="dxa"/>
            <w:hideMark/>
          </w:tcPr>
          <w:p w14:paraId="61709A0D" w14:textId="3A381F3C" w:rsidR="00A20790" w:rsidRPr="00A20790" w:rsidRDefault="00000000" w:rsidP="00A2079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2-</m:t>
                    </m:r>
                  </m:sup>
                </m:sSup>
              </m:oMath>
            </m:oMathPara>
          </w:p>
        </w:tc>
      </w:tr>
      <w:tr w:rsidR="00A20790" w:rsidRPr="00A20790" w14:paraId="080CE523" w14:textId="77777777" w:rsidTr="00A2079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30408E4C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Sulfate</w:t>
            </w:r>
          </w:p>
        </w:tc>
        <w:tc>
          <w:tcPr>
            <w:tcW w:w="2880" w:type="dxa"/>
            <w:hideMark/>
          </w:tcPr>
          <w:p w14:paraId="379FC9C9" w14:textId="0239C6F2" w:rsidR="00A20790" w:rsidRPr="00A20790" w:rsidRDefault="00000000" w:rsidP="00A2079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2-</m:t>
                    </m:r>
                  </m:sup>
                </m:sSup>
              </m:oMath>
            </m:oMathPara>
          </w:p>
        </w:tc>
      </w:tr>
      <w:tr w:rsidR="00A20790" w:rsidRPr="00A20790" w14:paraId="70B6AE0E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71BF1D45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Carbonate</w:t>
            </w:r>
          </w:p>
        </w:tc>
        <w:tc>
          <w:tcPr>
            <w:tcW w:w="2880" w:type="dxa"/>
            <w:hideMark/>
          </w:tcPr>
          <w:p w14:paraId="4BD2CAB0" w14:textId="14739E1E" w:rsidR="00A20790" w:rsidRPr="00A20790" w:rsidRDefault="00000000" w:rsidP="00A2079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2-</m:t>
                    </m:r>
                  </m:sup>
                </m:sSup>
              </m:oMath>
            </m:oMathPara>
          </w:p>
        </w:tc>
      </w:tr>
      <w:tr w:rsidR="00A20790" w:rsidRPr="00A20790" w14:paraId="1138EFB5" w14:textId="77777777" w:rsidTr="00A2079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2B405369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Phosphite</w:t>
            </w:r>
          </w:p>
        </w:tc>
        <w:tc>
          <w:tcPr>
            <w:tcW w:w="2880" w:type="dxa"/>
            <w:hideMark/>
          </w:tcPr>
          <w:p w14:paraId="5DCCB497" w14:textId="6E04F368" w:rsidR="00A20790" w:rsidRPr="00A20790" w:rsidRDefault="00000000" w:rsidP="00A20790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PO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3-</m:t>
                    </m:r>
                  </m:sup>
                </m:sSup>
              </m:oMath>
            </m:oMathPara>
          </w:p>
        </w:tc>
      </w:tr>
      <w:tr w:rsidR="00A20790" w:rsidRPr="00A20790" w14:paraId="6BA5C31A" w14:textId="77777777" w:rsidTr="00A20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5050A6FA" w14:textId="77777777" w:rsidR="00A20790" w:rsidRPr="00A20790" w:rsidRDefault="00A20790" w:rsidP="00A20790">
            <w:pPr>
              <w:spacing w:after="160" w:line="259" w:lineRule="auto"/>
              <w:jc w:val="center"/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</w:pPr>
            <w:r w:rsidRPr="00A20790">
              <w:rPr>
                <w:rFonts w:ascii="Cambria Math" w:eastAsiaTheme="minorEastAsia" w:hAnsi="Cambria Math"/>
                <w:b w:val="0"/>
                <w:bCs w:val="0"/>
                <w:iCs/>
                <w:caps w:val="0"/>
              </w:rPr>
              <w:t>Phosphate</w:t>
            </w:r>
          </w:p>
        </w:tc>
        <w:tc>
          <w:tcPr>
            <w:tcW w:w="2880" w:type="dxa"/>
            <w:hideMark/>
          </w:tcPr>
          <w:p w14:paraId="4122B5D0" w14:textId="67F786AC" w:rsidR="00A20790" w:rsidRPr="00A20790" w:rsidRDefault="00000000" w:rsidP="00A20790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/>
                <w:iCs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PO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sub>
                    </m:sSub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3-</m:t>
                    </m:r>
                  </m:sup>
                </m:sSup>
              </m:oMath>
            </m:oMathPara>
          </w:p>
        </w:tc>
      </w:tr>
    </w:tbl>
    <w:p w14:paraId="105B46CB" w14:textId="77777777" w:rsidR="00A20790" w:rsidRPr="00D2719F" w:rsidRDefault="00A20790" w:rsidP="00C2783D">
      <w:pPr>
        <w:jc w:val="center"/>
        <w:rPr>
          <w:rFonts w:ascii="Cambria Math" w:eastAsiaTheme="minorEastAsia" w:hAnsi="Cambria Math"/>
          <w:iCs/>
        </w:rPr>
      </w:pPr>
    </w:p>
    <w:p w14:paraId="303BBC96" w14:textId="15D791A8" w:rsidR="00391A8A" w:rsidRDefault="00391A8A" w:rsidP="00444684">
      <w:pPr>
        <w:rPr>
          <w:rFonts w:ascii="Cambria Math" w:eastAsiaTheme="minorEastAsia" w:hAnsi="Cambria Math"/>
          <w:iCs/>
        </w:rPr>
      </w:pPr>
      <w:r>
        <w:rPr>
          <w:rFonts w:ascii="Cambria Math" w:eastAsiaTheme="minorEastAsia" w:hAnsi="Cambria Math"/>
          <w:iCs/>
        </w:rPr>
        <w:t>Chapter 3</w:t>
      </w:r>
    </w:p>
    <w:p w14:paraId="0A017575" w14:textId="77777777" w:rsidR="00391A8A" w:rsidRPr="000472ED" w:rsidRDefault="00391A8A" w:rsidP="00391A8A">
      <w:pPr>
        <w:jc w:val="center"/>
        <w:rPr>
          <w:rFonts w:ascii="Cambria Math" w:eastAsiaTheme="minorEastAsia" w:hAnsi="Cambria Math"/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Molarity=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moles of solute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liter of solution</m:t>
              </m:r>
            </m:den>
          </m:f>
        </m:oMath>
      </m:oMathPara>
    </w:p>
    <w:p w14:paraId="7503B615" w14:textId="77777777" w:rsidR="00391A8A" w:rsidRDefault="00000000" w:rsidP="00391A8A">
      <w:pPr>
        <w:jc w:val="center"/>
        <w:rPr>
          <w:rFonts w:ascii="Cambria Math" w:hAnsi="Cambria Math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sectPr w:rsidR="00391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0F4B"/>
    <w:multiLevelType w:val="hybridMultilevel"/>
    <w:tmpl w:val="B2003A80"/>
    <w:lvl w:ilvl="0" w:tplc="B0542BA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623D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02F9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882EE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9A91D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4616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1417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CCF00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DC99C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24D56"/>
    <w:multiLevelType w:val="hybridMultilevel"/>
    <w:tmpl w:val="4E8A5E7A"/>
    <w:lvl w:ilvl="0" w:tplc="F0FC76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1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F881B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E638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654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7819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268E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2080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251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632A5"/>
    <w:multiLevelType w:val="hybridMultilevel"/>
    <w:tmpl w:val="5A306BBC"/>
    <w:lvl w:ilvl="0" w:tplc="767E1A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06D76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4C0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8E0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29A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23F5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E515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42DF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7CE7A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5937735">
    <w:abstractNumId w:val="2"/>
  </w:num>
  <w:num w:numId="2" w16cid:durableId="842665379">
    <w:abstractNumId w:val="1"/>
  </w:num>
  <w:num w:numId="3" w16cid:durableId="1877229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684"/>
    <w:rsid w:val="00015C9B"/>
    <w:rsid w:val="00020B4D"/>
    <w:rsid w:val="000C7CD5"/>
    <w:rsid w:val="00261214"/>
    <w:rsid w:val="00277A87"/>
    <w:rsid w:val="00391A8A"/>
    <w:rsid w:val="003A292C"/>
    <w:rsid w:val="00444684"/>
    <w:rsid w:val="00513549"/>
    <w:rsid w:val="0076794D"/>
    <w:rsid w:val="00980D2F"/>
    <w:rsid w:val="009A0483"/>
    <w:rsid w:val="009E4190"/>
    <w:rsid w:val="00A20790"/>
    <w:rsid w:val="00C2783D"/>
    <w:rsid w:val="00C45BAD"/>
    <w:rsid w:val="00C52052"/>
    <w:rsid w:val="00D2719F"/>
    <w:rsid w:val="00EC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88F0C"/>
  <w15:chartTrackingRefBased/>
  <w15:docId w15:val="{FCFC3D44-7C4F-4C0B-82AF-57057D5E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719F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27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2612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26121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3A292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9565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13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47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06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18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671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88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332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33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6032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47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188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3</cp:revision>
  <dcterms:created xsi:type="dcterms:W3CDTF">2022-09-12T22:31:00Z</dcterms:created>
  <dcterms:modified xsi:type="dcterms:W3CDTF">2022-09-12T22:32:00Z</dcterms:modified>
</cp:coreProperties>
</file>