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168"/>
        <w:gridCol w:w="1168"/>
        <w:gridCol w:w="1169"/>
        <w:gridCol w:w="1169"/>
        <w:gridCol w:w="1169"/>
        <w:gridCol w:w="1169"/>
        <w:gridCol w:w="1169"/>
        <w:gridCol w:w="1169"/>
      </w:tblGrid>
      <w:tr w:rsidR="00924B37" w:rsidTr="00924B37">
        <w:tc>
          <w:tcPr>
            <w:tcW w:w="1168" w:type="dxa"/>
          </w:tcPr>
          <w:p w:rsidR="00924B37" w:rsidRDefault="00924B37">
            <w:bookmarkStart w:id="0" w:name="_GoBack"/>
            <w:bookmarkEnd w:id="0"/>
          </w:p>
        </w:tc>
        <w:tc>
          <w:tcPr>
            <w:tcW w:w="1168" w:type="dxa"/>
          </w:tcPr>
          <w:p w:rsidR="00924B37" w:rsidRDefault="0025317D">
            <w:r>
              <w:t>First week</w:t>
            </w:r>
          </w:p>
        </w:tc>
        <w:tc>
          <w:tcPr>
            <w:tcW w:w="1169" w:type="dxa"/>
          </w:tcPr>
          <w:p w:rsidR="00924B37" w:rsidRDefault="00924B37"/>
        </w:tc>
        <w:tc>
          <w:tcPr>
            <w:tcW w:w="1169" w:type="dxa"/>
          </w:tcPr>
          <w:p w:rsidR="00924B37" w:rsidRDefault="00924B37"/>
        </w:tc>
        <w:tc>
          <w:tcPr>
            <w:tcW w:w="1169" w:type="dxa"/>
          </w:tcPr>
          <w:p w:rsidR="00924B37" w:rsidRDefault="0025317D">
            <w:r>
              <w:t>Last week</w:t>
            </w:r>
          </w:p>
        </w:tc>
        <w:tc>
          <w:tcPr>
            <w:tcW w:w="1169" w:type="dxa"/>
          </w:tcPr>
          <w:p w:rsidR="00924B37" w:rsidRDefault="00924B37"/>
        </w:tc>
        <w:tc>
          <w:tcPr>
            <w:tcW w:w="1169" w:type="dxa"/>
          </w:tcPr>
          <w:p w:rsidR="00924B37" w:rsidRDefault="00924B37"/>
        </w:tc>
        <w:tc>
          <w:tcPr>
            <w:tcW w:w="1169" w:type="dxa"/>
          </w:tcPr>
          <w:p w:rsidR="00924B37" w:rsidRDefault="00924B37"/>
        </w:tc>
      </w:tr>
      <w:tr w:rsidR="00924B37" w:rsidTr="00924B37">
        <w:tc>
          <w:tcPr>
            <w:tcW w:w="1168" w:type="dxa"/>
          </w:tcPr>
          <w:p w:rsidR="00924B37" w:rsidRDefault="00924B37"/>
        </w:tc>
        <w:tc>
          <w:tcPr>
            <w:tcW w:w="1168" w:type="dxa"/>
          </w:tcPr>
          <w:p w:rsidR="00924B37" w:rsidRDefault="0025317D">
            <w:r>
              <w:t>Freshmen</w:t>
            </w:r>
          </w:p>
        </w:tc>
        <w:tc>
          <w:tcPr>
            <w:tcW w:w="1169" w:type="dxa"/>
          </w:tcPr>
          <w:p w:rsidR="00924B37" w:rsidRDefault="0025317D">
            <w:r>
              <w:t>Seniors</w:t>
            </w:r>
          </w:p>
        </w:tc>
        <w:tc>
          <w:tcPr>
            <w:tcW w:w="1169" w:type="dxa"/>
          </w:tcPr>
          <w:p w:rsidR="00924B37" w:rsidRDefault="00924B37"/>
        </w:tc>
        <w:tc>
          <w:tcPr>
            <w:tcW w:w="1169" w:type="dxa"/>
          </w:tcPr>
          <w:p w:rsidR="00924B37" w:rsidRDefault="00924B37"/>
        </w:tc>
        <w:tc>
          <w:tcPr>
            <w:tcW w:w="1169" w:type="dxa"/>
          </w:tcPr>
          <w:p w:rsidR="00924B37" w:rsidRDefault="0025317D">
            <w:r>
              <w:t>Freshmen</w:t>
            </w:r>
          </w:p>
        </w:tc>
        <w:tc>
          <w:tcPr>
            <w:tcW w:w="1169" w:type="dxa"/>
          </w:tcPr>
          <w:p w:rsidR="00924B37" w:rsidRDefault="0025317D">
            <w:r>
              <w:t>Seniors</w:t>
            </w:r>
          </w:p>
        </w:tc>
        <w:tc>
          <w:tcPr>
            <w:tcW w:w="1169" w:type="dxa"/>
          </w:tcPr>
          <w:p w:rsidR="00924B37" w:rsidRDefault="00924B37"/>
        </w:tc>
      </w:tr>
      <w:tr w:rsidR="00924B37" w:rsidTr="00924B37">
        <w:tc>
          <w:tcPr>
            <w:tcW w:w="1168" w:type="dxa"/>
          </w:tcPr>
          <w:p w:rsidR="00924B37" w:rsidRDefault="0025317D">
            <w:r>
              <w:t xml:space="preserve">Low </w:t>
            </w:r>
            <w:proofErr w:type="spellStart"/>
            <w:r>
              <w:t>Anx</w:t>
            </w:r>
            <w:proofErr w:type="spellEnd"/>
          </w:p>
        </w:tc>
        <w:tc>
          <w:tcPr>
            <w:tcW w:w="1168" w:type="dxa"/>
          </w:tcPr>
          <w:p w:rsidR="00924B37" w:rsidRDefault="0025317D">
            <w:r>
              <w:t>53</w:t>
            </w:r>
          </w:p>
        </w:tc>
        <w:tc>
          <w:tcPr>
            <w:tcW w:w="1169" w:type="dxa"/>
          </w:tcPr>
          <w:p w:rsidR="00924B37" w:rsidRDefault="0025317D">
            <w:r>
              <w:t>91</w:t>
            </w:r>
          </w:p>
        </w:tc>
        <w:tc>
          <w:tcPr>
            <w:tcW w:w="1169" w:type="dxa"/>
          </w:tcPr>
          <w:p w:rsidR="00924B37" w:rsidRDefault="00924B37"/>
        </w:tc>
        <w:tc>
          <w:tcPr>
            <w:tcW w:w="1169" w:type="dxa"/>
          </w:tcPr>
          <w:p w:rsidR="00924B37" w:rsidRDefault="0025317D">
            <w:r>
              <w:t xml:space="preserve">Low </w:t>
            </w:r>
            <w:proofErr w:type="spellStart"/>
            <w:r>
              <w:t>Anx</w:t>
            </w:r>
            <w:proofErr w:type="spellEnd"/>
          </w:p>
        </w:tc>
        <w:tc>
          <w:tcPr>
            <w:tcW w:w="1169" w:type="dxa"/>
          </w:tcPr>
          <w:p w:rsidR="00924B37" w:rsidRDefault="0025317D" w:rsidP="0025317D">
            <w:r>
              <w:t>85</w:t>
            </w:r>
          </w:p>
        </w:tc>
        <w:tc>
          <w:tcPr>
            <w:tcW w:w="1169" w:type="dxa"/>
          </w:tcPr>
          <w:p w:rsidR="00924B37" w:rsidRDefault="0025317D">
            <w:r>
              <w:t>90</w:t>
            </w:r>
          </w:p>
        </w:tc>
        <w:tc>
          <w:tcPr>
            <w:tcW w:w="1169" w:type="dxa"/>
          </w:tcPr>
          <w:p w:rsidR="00924B37" w:rsidRDefault="00924B37"/>
        </w:tc>
      </w:tr>
      <w:tr w:rsidR="00924B37" w:rsidTr="00924B37">
        <w:tc>
          <w:tcPr>
            <w:tcW w:w="1168" w:type="dxa"/>
          </w:tcPr>
          <w:p w:rsidR="00924B37" w:rsidRDefault="0025317D">
            <w:r>
              <w:t xml:space="preserve">Med </w:t>
            </w:r>
            <w:proofErr w:type="spellStart"/>
            <w:r>
              <w:t>Anx</w:t>
            </w:r>
            <w:proofErr w:type="spellEnd"/>
          </w:p>
        </w:tc>
        <w:tc>
          <w:tcPr>
            <w:tcW w:w="1168" w:type="dxa"/>
          </w:tcPr>
          <w:p w:rsidR="00924B37" w:rsidRDefault="0025317D">
            <w:r>
              <w:t>51</w:t>
            </w:r>
          </w:p>
        </w:tc>
        <w:tc>
          <w:tcPr>
            <w:tcW w:w="1169" w:type="dxa"/>
          </w:tcPr>
          <w:p w:rsidR="00924B37" w:rsidRDefault="0025317D">
            <w:r>
              <w:t>83</w:t>
            </w:r>
          </w:p>
        </w:tc>
        <w:tc>
          <w:tcPr>
            <w:tcW w:w="1169" w:type="dxa"/>
          </w:tcPr>
          <w:p w:rsidR="00924B37" w:rsidRDefault="00924B37"/>
        </w:tc>
        <w:tc>
          <w:tcPr>
            <w:tcW w:w="1169" w:type="dxa"/>
          </w:tcPr>
          <w:p w:rsidR="00924B37" w:rsidRDefault="0025317D" w:rsidP="0025317D">
            <w:r>
              <w:t xml:space="preserve">Med </w:t>
            </w:r>
            <w:proofErr w:type="spellStart"/>
            <w:r>
              <w:t>Anx</w:t>
            </w:r>
            <w:proofErr w:type="spellEnd"/>
          </w:p>
        </w:tc>
        <w:tc>
          <w:tcPr>
            <w:tcW w:w="1169" w:type="dxa"/>
          </w:tcPr>
          <w:p w:rsidR="00924B37" w:rsidRDefault="0025317D">
            <w:r>
              <w:t>8</w:t>
            </w:r>
            <w:r w:rsidR="00924B37">
              <w:t>0</w:t>
            </w:r>
          </w:p>
        </w:tc>
        <w:tc>
          <w:tcPr>
            <w:tcW w:w="1169" w:type="dxa"/>
          </w:tcPr>
          <w:p w:rsidR="00924B37" w:rsidRDefault="0025317D">
            <w:r>
              <w:t>85</w:t>
            </w:r>
          </w:p>
        </w:tc>
        <w:tc>
          <w:tcPr>
            <w:tcW w:w="1169" w:type="dxa"/>
          </w:tcPr>
          <w:p w:rsidR="00924B37" w:rsidRDefault="00924B37"/>
        </w:tc>
      </w:tr>
      <w:tr w:rsidR="00924B37" w:rsidTr="00924B37">
        <w:tc>
          <w:tcPr>
            <w:tcW w:w="1168" w:type="dxa"/>
          </w:tcPr>
          <w:p w:rsidR="00924B37" w:rsidRDefault="0025317D">
            <w:r>
              <w:t xml:space="preserve">High </w:t>
            </w:r>
            <w:proofErr w:type="spellStart"/>
            <w:r>
              <w:t>Anx</w:t>
            </w:r>
            <w:proofErr w:type="spellEnd"/>
          </w:p>
        </w:tc>
        <w:tc>
          <w:tcPr>
            <w:tcW w:w="1168" w:type="dxa"/>
          </w:tcPr>
          <w:p w:rsidR="00924B37" w:rsidRDefault="0025317D">
            <w:r>
              <w:t>50</w:t>
            </w:r>
          </w:p>
        </w:tc>
        <w:tc>
          <w:tcPr>
            <w:tcW w:w="1169" w:type="dxa"/>
          </w:tcPr>
          <w:p w:rsidR="00924B37" w:rsidRDefault="0025317D">
            <w:r>
              <w:t>75</w:t>
            </w:r>
          </w:p>
        </w:tc>
        <w:tc>
          <w:tcPr>
            <w:tcW w:w="1169" w:type="dxa"/>
          </w:tcPr>
          <w:p w:rsidR="00924B37" w:rsidRDefault="00924B37"/>
        </w:tc>
        <w:tc>
          <w:tcPr>
            <w:tcW w:w="1169" w:type="dxa"/>
          </w:tcPr>
          <w:p w:rsidR="00924B37" w:rsidRDefault="0025317D">
            <w:r>
              <w:t xml:space="preserve">High </w:t>
            </w:r>
            <w:proofErr w:type="spellStart"/>
            <w:r>
              <w:t>Anx</w:t>
            </w:r>
            <w:proofErr w:type="spellEnd"/>
          </w:p>
        </w:tc>
        <w:tc>
          <w:tcPr>
            <w:tcW w:w="1169" w:type="dxa"/>
          </w:tcPr>
          <w:p w:rsidR="00924B37" w:rsidRDefault="0025317D">
            <w:r>
              <w:t>75</w:t>
            </w:r>
          </w:p>
        </w:tc>
        <w:tc>
          <w:tcPr>
            <w:tcW w:w="1169" w:type="dxa"/>
          </w:tcPr>
          <w:p w:rsidR="00924B37" w:rsidRDefault="0025317D">
            <w:r>
              <w:t>80</w:t>
            </w:r>
          </w:p>
        </w:tc>
        <w:tc>
          <w:tcPr>
            <w:tcW w:w="1169" w:type="dxa"/>
          </w:tcPr>
          <w:p w:rsidR="00924B37" w:rsidRDefault="00924B37"/>
        </w:tc>
      </w:tr>
    </w:tbl>
    <w:p w:rsidR="00F469EC" w:rsidRDefault="00962A78"/>
    <w:p w:rsidR="00924B37" w:rsidRDefault="00924B37">
      <w:r>
        <w:t xml:space="preserve">In this study, we test </w:t>
      </w:r>
      <w:r w:rsidR="0025317D">
        <w:t>Freshmen and Seniors on a vocabulary test (score out of 100).  In addition, we induce an anxiety state right before the test (high, medium, or low) anxiety.  We do this the first week of the semester and the last week of the semester.  Assume the participants are different the first week and the last week.</w:t>
      </w:r>
    </w:p>
    <w:p w:rsidR="00924B37" w:rsidRDefault="00924B37">
      <w:r>
        <w:t xml:space="preserve">What is the shorthand notation for this design?  </w:t>
      </w:r>
      <w:r w:rsidR="00764878">
        <w:t>2 x 3 x 2 (or 2 x 2 x 3, or 3 x 2 x 2, all are correct)</w:t>
      </w:r>
    </w:p>
    <w:p w:rsidR="00B342F8" w:rsidRDefault="00B342F8">
      <w:r>
        <w:t>What are the IVs and levels</w:t>
      </w:r>
      <w:r w:rsidR="0025317D">
        <w:t>?</w:t>
      </w:r>
      <w:r w:rsidR="00764878">
        <w:t xml:space="preserve">  Year (freshmen, senior), anxiety (low, medium, high), and week (first, last)</w:t>
      </w:r>
    </w:p>
    <w:p w:rsidR="00B342F8" w:rsidRDefault="00B342F8">
      <w:r>
        <w:t>What is the DV?</w:t>
      </w:r>
      <w:r w:rsidR="00764878">
        <w:t xml:space="preserve">  Score on the vocabulary test</w:t>
      </w:r>
    </w:p>
    <w:p w:rsidR="00924B37" w:rsidRDefault="00924B37">
      <w:r>
        <w:t xml:space="preserve">What kind of factorial design is it? </w:t>
      </w:r>
      <w:r w:rsidR="00764878">
        <w:t xml:space="preserve"> Since I said the participants are different, this would be an Independent groups factorial.</w:t>
      </w:r>
    </w:p>
    <w:p w:rsidR="00B342F8" w:rsidRDefault="00B342F8">
      <w:r>
        <w:t>Graph these results.</w:t>
      </w:r>
    </w:p>
    <w:p w:rsidR="00B342F8" w:rsidRDefault="00764878">
      <w:r>
        <w:t>Put Test score on the y-axis.  Maybe do 10 point increments from 50 to 100.  Put anxiety level on the x-axis and do 2 lines for Freshman (open circle, dashed line) and Senior (closed circle and solid line).</w:t>
      </w:r>
    </w:p>
    <w:p w:rsidR="00B342F8" w:rsidRDefault="00B342F8"/>
    <w:p w:rsidR="00B342F8" w:rsidRDefault="00B342F8"/>
    <w:p w:rsidR="00B342F8" w:rsidRDefault="00B342F8"/>
    <w:p w:rsidR="00B342F8" w:rsidRDefault="00B342F8"/>
    <w:p w:rsidR="00924B37" w:rsidRDefault="00924B37">
      <w:r>
        <w:t>Are there likely any main effects?</w:t>
      </w:r>
    </w:p>
    <w:p w:rsidR="00B342F8" w:rsidRDefault="00764878">
      <w:r>
        <w:t>Yes, week and year would likely be significant.  Possibly for anxiety, but this would depend on the variability.</w:t>
      </w:r>
    </w:p>
    <w:p w:rsidR="00B342F8" w:rsidRDefault="00B342F8"/>
    <w:p w:rsidR="00924B37" w:rsidRDefault="00924B37">
      <w:r>
        <w:t>Are there likely any interactions?</w:t>
      </w:r>
    </w:p>
    <w:p w:rsidR="00B342F8" w:rsidRDefault="00764878">
      <w:r>
        <w:t>Yes, probably every combination would be significant, although year x anxiety and week x anxiety would depend on the variability.</w:t>
      </w:r>
    </w:p>
    <w:p w:rsidR="00B342F8" w:rsidRDefault="00B342F8"/>
    <w:p w:rsidR="00B342F8" w:rsidRDefault="00B342F8">
      <w:r>
        <w:t>If you were describing the results of this study, how would you describe them?</w:t>
      </w:r>
      <w:r w:rsidR="00764878">
        <w:t xml:space="preserve">  Freshmen and Seniors are very different the first week, with Seniors scoring much better than the freshmen.  But by the last week, freshmen scores are much closer to the seniors, though still slightly worse.  It appears that anxiety only affects the scores slightly, with more anxiety resulting in slightly lower scores.</w:t>
      </w:r>
    </w:p>
    <w:sectPr w:rsidR="00B342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B37"/>
    <w:rsid w:val="0025317D"/>
    <w:rsid w:val="003B2446"/>
    <w:rsid w:val="00492C4C"/>
    <w:rsid w:val="00764878"/>
    <w:rsid w:val="00924B37"/>
    <w:rsid w:val="00962A78"/>
    <w:rsid w:val="00B342F8"/>
    <w:rsid w:val="00BF0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AD5D90-1FA4-4D9D-B254-DDD617C16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4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342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42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Trench, Lynne S.</dc:creator>
  <cp:keywords/>
  <dc:description/>
  <cp:lastModifiedBy>SSC Classroom</cp:lastModifiedBy>
  <cp:revision>2</cp:revision>
  <cp:lastPrinted>2022-11-09T15:27:00Z</cp:lastPrinted>
  <dcterms:created xsi:type="dcterms:W3CDTF">2022-11-09T20:35:00Z</dcterms:created>
  <dcterms:modified xsi:type="dcterms:W3CDTF">2022-11-09T20:35:00Z</dcterms:modified>
</cp:coreProperties>
</file>